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STEADY — AUTONOMOUS SAFETY SYSTEM</w:t>
      </w:r>
    </w:p>
    <w:p>
      <w:pPr>
        <w:pBdr>
          <w:bottom w:val="single" w:color="1F3A5F" w:sz="12"/>
        </w:pBdr>
        <w:spacing w:after="160"/>
      </w:pPr>
      <w:r>
        <w:rPr>
          <w:rFonts w:ascii="Calibri" w:cs="Calibri" w:eastAsia="Calibri" w:hAnsi="Calibri"/>
          <w:b/>
          <w:bCs/>
          <w:color w:val="1F2933"/>
          <w:sz w:val="34"/>
          <w:szCs w:val="34"/>
        </w:rPr>
        <w:t xml:space="preserve">Independent Licensed-Clinician Sign-Off Form</w:t>
      </w:r>
    </w:p>
    <w:p>
      <w:pPr>
        <w:spacing w:after="40" w:before="0" w:line="264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Configuration under review: </w:t>
      </w: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beta-provisional-2026-07</w:t>
      </w:r>
    </w:p>
    <w:p>
      <w:pPr>
        <w:spacing w:after="160" w:before="0" w:line="264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Date of review: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__________________      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Review session / ref: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__________________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Purpose.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Steady's safety decisions are made by a deterministic rule engine currently running in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shadow mode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(it computes and logs, but governs nothing a member sees). Before it may govern any real member, the clinician-authored corpus requires review and sign-off by at least two independent licensed trauma clinicians. This form is the paper record of that review. Every value below is </w:t>
      </w: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provisional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until ratified here.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How to use.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Complete all five parts. Part 1 captures reviewer identity and credentials. Part 2 resolves the numeric conflicts the specification left open — these feed a configuration change, after which the config version increments and Part 3 is ratified against the new values. Part 3 is the rule-by-rule ratification that mirrors the in-app Autonomous Review console (“Agree / Needs-change” per rule) — you may complete it in the app instead, but this sheet gives the same coverage on paper and maps 1:1 to the console's CSV export. Part 4 is the out-of-app evidence package. Part 5 is the attestation and signatures.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5B6b7a"/>
          <w:sz w:val="18"/>
          <w:szCs w:val="18"/>
        </w:rPr>
        <w:t xml:space="preserve">Legend:  </w:t>
      </w:r>
      <w:r>
        <w:rPr>
          <w:rFonts w:ascii="Calibri" w:cs="Calibri" w:eastAsia="Calibri" w:hAnsi="Calibri"/>
          <w:color w:val="5B6b7a"/>
          <w:sz w:val="18"/>
          <w:szCs w:val="18"/>
        </w:rPr>
        <w:t xml:space="preserve">🔴 blocks real-member use    🟡 resolve before pilot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Part 1 — Reviewer identity &amp; credentials</w:t>
      </w:r>
    </w:p>
    <w:p>
      <w:pPr>
        <w:spacing w:after="80" w:before="0" w:line="264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The corpus (Vol I App. C) requires named, credentialed, signed reviewers; at least two independent licensed trauma clinicians must sign. Add pages for further reviewers.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Reviewer 1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Full name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Professional title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License type &amp; number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Jurisdiction / state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EMDR training / certification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Trauma-clinical experience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Independence attestation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color w:val="1F2933"/>
          <w:sz w:val="8"/>
          <w:szCs w:val="8"/>
        </w:rPr>
        <w:t xml:space="preserve"> 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Reviewer 2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Full name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Professional title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License type &amp; number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Jurisdiction / state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EMDR training / certification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Trauma-clinical experience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8"/>
                <w:szCs w:val="18"/>
              </w:rPr>
              <w:t xml:space="preserve">Independence attestation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Part 2 — Numeric conflict resolution (ledger Section A)</w:t>
      </w:r>
    </w:p>
    <w:p>
      <w:pPr>
        <w:spacing w:after="80" w:before="0" w:line="264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The specification's main body, Appendix A, and advisor worksheet give different numbers for the parameters below. Beta uses the safest value. Record the authoritative ruling and rationale for each; the four 🔴 items block real-member use until resolved. A7 and A8 are explicit placeholders that “nothing ships without.”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640"/>
        <w:gridCol w:w="2100"/>
        <w:gridCol w:w="3160"/>
        <w:gridCol w:w="3460"/>
      </w:tblGrid>
      <w:tr>
        <w:trPr>
          <w:tblHeader/>
        </w:trPr>
        <w:tc>
          <w:tcPr>
            <w:tcW w:type="dxa" w:w="64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1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Conflict / beta value</w:t>
            </w:r>
          </w:p>
        </w:tc>
        <w:tc>
          <w:tcPr>
            <w:tcW w:type="dxa" w:w="34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Authoritative ruling (write value + rationale)</w:t>
            </w:r>
          </w:p>
        </w:tc>
      </w:tr>
      <w:tr>
        <w:tc>
          <w:tcPr>
            <w:tcW w:type="dxa" w:w="640"/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A1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Readiness formula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Conflict: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Weighted 0–100 (main body) vs multiplier-based (Appendix A) — different caps, track names, boundaries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Beta uses: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Multiplier + caps; tracks grounding / cautious / steady (caps are the safety mechanism: &lt;fully-safe → ceiling 30; low pause-capacity → ceiling 60)</w:t>
            </w:r>
          </w:p>
        </w:tc>
        <w:tc>
          <w:tcPr>
            <w:tcW w:type="dxa" w:w="346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640"/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A2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In-session SUDS rule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Conflict: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Delta-based (+1 pause / +2 containment) vs absolute (≥8 / ≥9 + rise-of-3, App A)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Beta uses: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Conservative UNION: containment on Δ≥2 OR absolute ≥8 OR rise-≥3-over-start; hard-stop at ≥9</w:t>
            </w:r>
          </w:p>
        </w:tc>
        <w:tc>
          <w:tcPr>
            <w:tcW w:type="dxa" w:w="346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64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A3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Session duration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Conflict: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30 / 40 min (main) vs 35 / 45 min (App A + advisor R4)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Beta uses: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30 min wind-down / 40 min hard-stop (shorter)</w:t>
            </w:r>
          </w:p>
        </w:tc>
        <w:tc>
          <w:tcPr>
            <w:tcW w:type="dxa" w:w="346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64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A4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Containment-ending cooldown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Conflict: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48 h (main + crosswalk) vs 24 h (advisor R21)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Beta uses: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48 h (longer)</w:t>
            </w:r>
          </w:p>
        </w:tc>
        <w:tc>
          <w:tcPr>
            <w:tcW w:type="dxa" w:w="346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64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A5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Max stimulation sets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Conflict: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3 (main) vs 2–3 (advisor) vs 2 (beta)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Beta uses: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346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64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A6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Hospitalization exclusion window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Conflict: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0–90 d / 91–365 review (main) vs 12-mo standing (screener)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Beta uses: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12-month standing (more conservative)</w:t>
            </w:r>
          </w:p>
        </w:tc>
        <w:tc>
          <w:tcPr>
            <w:tcW w:type="dxa" w:w="346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640"/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A7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BLS speed &amp; closure minimum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Conflict: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Main lists 1.25 Hz / 120 s; advisor worksheet marks BOTH “none in codebase — nothing ships without this row”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Beta uses: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Beta 1.0 / 1.25 / 1.5 Hz range, 3/s flash ceiling, 120 s closure — PLACEHOLDERS pending this sign-off</w:t>
            </w:r>
          </w:p>
        </w:tc>
        <w:tc>
          <w:tcPr>
            <w:tcW w:type="dxa" w:w="346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640"/>
            <w:shd w:fill="FBE9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A8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Program-fit item wording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Conflict: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Placeholder pending advisor R15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Beta uses: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fit-v1-placeholder — NOT final</w:t>
            </w:r>
          </w:p>
        </w:tc>
        <w:tc>
          <w:tcPr>
            <w:tcW w:type="dxa" w:w="346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64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A9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DES-II inclusion &amp; licensing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Conflict: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Not yet selected (advisor R22); commercial licensing unverified (R10)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Beta uses: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Omitted from beta until adopted + licensed</w:t>
            </w:r>
          </w:p>
        </w:tc>
        <w:tc>
          <w:tcPr>
            <w:tcW w:type="dxa" w:w="346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640"/>
            <w:shd w:fill="FFF8E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A10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State vs trait split on screener items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Conflict: 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Advisor R18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6b7a"/>
                <w:sz w:val="15"/>
                <w:szCs w:val="15"/>
              </w:rPr>
              <w:t xml:space="preserve">Beta uses: </w:t>
            </w: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Beta split per digest — confirm</w:t>
            </w:r>
          </w:p>
        </w:tc>
        <w:tc>
          <w:tcPr>
            <w:tcW w:type="dxa" w:w="3460"/>
            <w:shd w:fill="FFFDE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Part 3 — Deterministic rule ratification (ledger Sections B–D)</w:t>
      </w:r>
    </w:p>
    <w:p>
      <w:pPr>
        <w:spacing w:after="80" w:before="0" w:line="264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Confirm each immutable rule's threshold/behavior is clinically correct. Mark Agree or Needs-change; use the notes area at the end of each group for any required change. Rule IDs match the console register and CSV export at the config version above.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3.1  Access &amp; gating rules (program-fit, daily routing, instruments, readiness)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45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 / behavior to ratify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 (mark one)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FIT_UNDER_18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Under 18 → not eligible (adults 18+ only).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FIT_SELFHARM_30D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Recent self-harm (30 d) → crisis routing, human support first.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FIT_UNSAFE_SITUATION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Current situation not safe → crisis routing.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FIT_PSYCHOTIC_DISSOCIATIVE_DX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Psychotic/dissociative dx → standing restriction (reversible only by support contact).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FIT_HOSPITALIZATION_12M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Psychiatric hospitalization in 12 mo → standing restriction (ledger A6).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FIT_SUBSTANCE_DEPENDENCE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Substance dependence → standing restriction.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FIT_SEIZURE_PHOTOSENSITIVE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Seizure / photosensitivity → visual movement disabled for the account.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FIT_ACUTE_MEDICAL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Acute medical concern → gentle pacing + extra resources.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ACUTE_TRAUMA_30D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Trauma within 30 d → grounding/orientation only, no BLS (Vol I A-8).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DAILY_HARM_URGE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Daily check-in flags harm urge → crisis routing.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DAILY_NOT_SAFE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Daily: cannot keep self safe → crisis routing.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CRISIS_PHQ9_ITEM9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PHQ-9 item 9 ≥ 1 (ANY nonzero) → 72 h stabilization + one binary safety question.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CRISIS_PCL5_ITEM16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PCL-5 item 16 ≥ 3 → 72 h stabilization + safety question.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DAILY_DISSOCIATION_7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Daily dissociation ≥ 7 → grounding only.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DAILY_ACTIVATION_8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Daily activation ≥ 8 → grounding only.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DAILY_SHUTDOWN_8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Daily shutdown ≥ 8 → grounding only.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DAILY_INTOXICATION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Intoxication reported → activating work rests, grounding open.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DAILY_DISSOCIATION_4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Daily dissociation 4–6 → stabilization (activating work waits).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DAILY_SLEEP_LOW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Sleep ≤ 2 → stabilization.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DAILY_SUBSTANCE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Substance use reported → lower intensity, stabilization open.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MISSING_CHECKIN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No check-in today → grounding only until completed (missing input never favorable).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DES2_HIGH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DES-II ≥ 30 → grounding-first + imagery restriction + clinician referral.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DES2_CAUTION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DES-II 20–29.99 → gentle, state-dependent imagery (silent caution).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PCL5_WEEKLY_RISE_10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PCL-5 week-over-week rise ≥ 10 → 14-day cautious ceiling + support.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ITQ_COMBINED_RISE_8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ITQ (PTSD+DSO) weekly rise ≥ 8 → 14-day cautious ceiling + support.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READY_RISK_FLAG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Any active safety flag → route to support before anything else.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READY_LESS_THAN_SAFE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Less-than-fully-safe → readiness capped at stabilization band (ceiling 30).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READY_PAUSE_CAPACITY_LOW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Low pause-capacity → cautious band (ceiling 60); build pause skill first.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REENTRY_PENDING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Return after a rest → fresh check-in + grounding, access opens gradually.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5B6b7a"/>
          <w:sz w:val="18"/>
          <w:szCs w:val="18"/>
        </w:rPr>
        <w:t xml:space="preserve">Group notes / required changes: </w:t>
      </w: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</w:t>
      </w:r>
    </w:p>
    <w:p>
      <w:pPr>
        <w:spacing w:after="80" w:before="0" w:line="264"/>
      </w:pP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________________________________________________________________________________________________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3.2  In-session runtime &amp; bilateral-stimulation rules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45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 / behavior to ratify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 (mark one)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SESSION_START_SUDS_CEILING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Deny stimulation if starting SUDS &gt; 5.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SESSION_MAX_SETS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At most 2 stimulation sets per session (beta).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SESSION_CONTAINMENT_DELTA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Containment if post-set SUDS rises by ≥ 2.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SESSION_CONTAINMENT_ABSOLUTE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Containment if post-set SUDS reaches ≥ 8.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SESSION_HARD_STOP_SUDS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Hard-stop containment if SUDS reaches ≥ 9.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SESSION_RISE_OVER_START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Containment if SUDS rises ≥ 3 over the starting value.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SESSION_TWO_RISES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Containment after two consecutive +1 rises.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SESSION_NO_CHANGE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Close (no more sets) if SUDS unchanged across 2 sets (“stuck is a stop signal”).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SESSION_DISSOCIATION_STOP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Stop the exercise if in-session dissociation reaches ≥ 4.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SESSION_ORIENTATION_STOP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Stop + re-orient if the member is not oriented to the present.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SESSION_WIND_DOWN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Wind-down (no new sets) at 30 minutes.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SESSION_HARD_STOP_TIME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Force closure at 40 minutes.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SESSION_CLOSURE_MIN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Mandatory closure ≥ 120 s regardless of score.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SESSION_GROUND_ME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Ground-Me: one-tap halt, locks stimulation for the session, no return.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BLS_HZ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Bilateral stimulation 1.0–1.5 Hz (default 1.25); no adaptive speed, no mid-set increase.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BLS_NO_VISUAL_BETA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No visual BLS in beta (auditory + self-tapping only).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BLS_FLASH_CEILING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Visual flashes never exceed 3 / sec (WCAG 2.3.2).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BLS_TIMING_FAILURE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On a timing failure: stop the set; never catch up or resume.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5B6b7a"/>
          <w:sz w:val="18"/>
          <w:szCs w:val="18"/>
        </w:rPr>
        <w:t xml:space="preserve">Group notes / required changes: </w:t>
      </w: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</w:t>
      </w:r>
    </w:p>
    <w:p>
      <w:pPr>
        <w:spacing w:after="80" w:before="0" w:line="264"/>
      </w:pP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3.3  Voice input &amp; live spoken-session guardrails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45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 / behavior to ratify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 (mark one)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VOICE_INPUT_ENABLED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Voice answers a free-text reflection; typing always available (equivalent typed path).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VOICE_INPUT_ON_DEVICE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On-device transcription; raw audio never uploaded/stored; only confirmed transcript kept (encrypted).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VOICE_INPUT_CONFIRM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Recognized text is shown editable; member confirms before it enters the record.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VOICE_INPUT_SCOPE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Voice only for free-text reflection — never SUDS, fit-screening, or any safety-gate input.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VOICE_INPUT_CONSENT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Distinct versioned voice/biometric consent + counsel review before non-demo use.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LIVE_SESSION_ENGINE_OWNS_FLOW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Responder returns words + at most a Ground-me hint; never continues a set / ends closure / overrides a stop.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LIVE_SESSION_CRISIS_SCRIPTED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Crisis checked first; crisis / high-activation replies scripted → Ground-me + 988, never AI.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LIVE_SESSION_BOUNDED_RESPONSE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Never instructs reprocessing, never claims feelings/outcomes; every line passes the output guard.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LIVE_SESSION_DEMO_GATED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Off for real members (demo/flag only); needs clinician sign-off + voice consent.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5B6b7a"/>
          <w:sz w:val="18"/>
          <w:szCs w:val="18"/>
        </w:rPr>
        <w:t xml:space="preserve">Group notes / required changes: </w:t>
      </w: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</w:t>
      </w:r>
    </w:p>
    <w:p>
      <w:pPr>
        <w:spacing w:after="80" w:before="0" w:line="264"/>
      </w:pP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________________________________________________________________________________________________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3.4  Therapy knowledge-base retrieval guardrails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45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 / behavior to ratify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 (mark one)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KB_ADVISORY_ONLY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Therapy KB is advisory to phrasing only; never makes/changes a safety decision.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KB_TIER_GATED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Retrieval gated by member tier/state; crisis tier gets no KB content.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KB_OUTPUT_GUARDED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Every KB-informed line still passes the deterministic output guard.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KB_RESTRICTED_TOPICS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Restricted topics (reprocessing instructions, etc.) never retrievable.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KB_DETERMINISTIC_RETRIEVAL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Retrieval is deterministic (tier/activation/dissociation-gated), not model-chosen.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KB_AVOIDWHEN_ADVISORY</w:t>
            </w:r>
          </w:p>
        </w:tc>
        <w:tc>
          <w:tcPr>
            <w:tcW w:type="dxa" w:w="4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“Avoid-when” conditions on techniques are honored as hard filters.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KB_UNKNOWN_STATE_CONSERVATIVE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Unknown/missing state → most conservative retrieval (or none).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Agree  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Needs-change</w:t>
            </w:r>
          </w:p>
        </w:tc>
      </w:tr>
    </w:tbl>
    <w:p>
      <w:pPr>
        <w:spacing w:after="80" w:before="80" w:line="264"/>
      </w:pPr>
      <w:r>
        <w:rPr>
          <w:rFonts w:ascii="Calibri" w:cs="Calibri" w:eastAsia="Calibri" w:hAnsi="Calibri"/>
          <w:b/>
          <w:bCs/>
          <w:color w:val="5B6b7a"/>
          <w:sz w:val="18"/>
          <w:szCs w:val="18"/>
        </w:rPr>
        <w:t xml:space="preserve">Group notes / required changes: </w:t>
      </w: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</w:t>
      </w:r>
    </w:p>
    <w:p>
      <w:pPr>
        <w:spacing w:after="80" w:before="0" w:line="264"/>
      </w:pP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________________________________________________________________________________________________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3.5  Human-in-the-loop checkpoints — confirm none is silently removed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AI never determines crisis status, dissociation, readiness, emergency routing, stimulation parameters, or eligibility (structurally enforced).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No autonomous emergency-services dispatch (out of scope for beta).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Escalation never promises more human oversight than is actually staffed; never implies continuous monitoring.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DES-II ≥ 30 / DSO-predominant / repeated re-entry failures route to a clinician pathway.</w:t>
      </w:r>
    </w:p>
    <w:p>
      <w:pPr>
        <w:spacing w:after="60" w:before="0" w:line="264"/>
      </w:pPr>
      <w:r>
        <w:rPr>
          <w:rFonts w:ascii="Calibri" w:cs="Calibri" w:eastAsia="Calibri" w:hAnsi="Calibri"/>
          <w:sz w:val="20"/>
          <w:szCs w:val="20"/>
        </w:rPr>
        <w:t xml:space="preserve">☐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Trait hard-stops (psychotic/dissociative dx, recent hospitalization, substance dependence) reversible only by support contact — never by re-answering.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Part 4 — Validation &amp; deployment evidence (ledger Section E)</w:t>
      </w:r>
    </w:p>
    <w:p>
      <w:pPr>
        <w:spacing w:after="80" w:before="0" w:line="264"/>
      </w:pPr>
      <w:r>
        <w:rPr>
          <w:rFonts w:ascii="Calibri" w:cs="Calibri" w:eastAsia="Calibri" w:hAnsi="Calibri"/>
          <w:i/>
          <w:iCs/>
          <w:color w:val="5B6b7a"/>
          <w:sz w:val="18"/>
          <w:szCs w:val="18"/>
        </w:rPr>
        <w:t xml:space="preserve">These deliverables are produced outside the app. Record status and where the evidence lives.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900"/>
        <w:gridCol w:w="5560"/>
        <w:gridCol w:w="2900"/>
      </w:tblGrid>
      <w:tr>
        <w:trPr>
          <w:tblHeader/>
        </w:trPr>
        <w:tc>
          <w:tcPr>
            <w:tcW w:type="dxa" w:w="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56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Deployment / validation gate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+ evidence reference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🔴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Independent review by ≥ 2 licensed trauma clinicians of scope / thresholds / stop-rules / dissociation / crisis-routing / user language.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  <w:tr>
        <w:tc>
          <w:tcPr>
            <w:tcW w:type="dxa" w:w="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🔴</w:t>
            </w:r>
          </w:p>
        </w:tc>
        <w:tc>
          <w:tcPr>
            <w:tcW w:type="dxa" w:w="5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Evidence matrix mapping every parameter to supporting / absent evidence.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🔴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Clinical implementation spec (decision tables, state transitions, pseudocode, test cases).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  <w:tr>
        <w:tc>
          <w:tcPr>
            <w:tcW w:type="dxa" w:w="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🔴</w:t>
            </w:r>
          </w:p>
        </w:tc>
        <w:tc>
          <w:tcPr>
            <w:tcW w:type="dxa" w:w="5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Privacy / security review by qualified professionals (separate from clinical design).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🟡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Human-factors testing (comprehension, interruption recovery, behavior under stress).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  <w:tr>
        <w:tc>
          <w:tcPr>
            <w:tcW w:type="dxa" w:w="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🟡</w:t>
            </w:r>
          </w:p>
        </w:tc>
        <w:tc>
          <w:tcPr>
            <w:tcW w:type="dxa" w:w="5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Technical verification (deterministic routing, logging, crash recovery, regression).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🔴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Staged validation Phases 1→4 with predefined progression / stopping criteria.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  <w:tr>
        <w:tc>
          <w:tcPr>
            <w:tcW w:type="dxa" w:w="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🔴</w:t>
            </w:r>
          </w:p>
        </w:tc>
        <w:tc>
          <w:tcPr>
            <w:tcW w:type="dxa" w:w="556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Claims / communications review — preparation-only scope consistent across all channels.</w:t>
            </w:r>
          </w:p>
        </w:tc>
        <w:tc>
          <w:tcPr>
            <w:tcW w:type="dxa" w:w="2900"/>
            <w:shd w:fill="F0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🔴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8"/>
                <w:szCs w:val="18"/>
              </w:rPr>
              <w:t xml:space="preserve">Model safety gates + pilot entry: no unresolved critical red-team findings.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☐ Complete   ☐ Pending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5"/>
                <w:szCs w:val="15"/>
              </w:rPr>
              <w:t xml:space="preserve">Ref: ____________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2933"/>
        </w:rPr>
        <w:t xml:space="preserve">Part 5 — Attestation &amp; signatures</w:t>
      </w:r>
    </w:p>
    <w:p>
      <w:pPr>
        <w:spacing w:after="80" w:before="0" w:line="264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By signing, each reviewer attests that: they are an independent, licensed clinician with trauma expertise; they have reviewed the scope, thresholds, stop-rules, dissociation handling, crisis routing, and member-facing language of the configuration named above; the “Agree” verdicts recorded here reflect their clinical judgment; and any “Needs-change” items must be resolved and re-reviewed before that rule governs a real member. This sign-off applies only to configuration version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beta-provisional-2026-07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; any change to a signed value resets its sign-off.</w:t>
      </w:r>
    </w:p>
    <w:p>
      <w:pPr>
        <w:spacing w:after="60" w:before="120" w:line="264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Overall determination:</w:t>
      </w:r>
    </w:p>
    <w:p>
      <w:pPr>
        <w:spacing w:after="60" w:before="0" w:line="26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Approved to proceed to staged activation (all 🔴 items resolved, all rules Agree).</w:t>
      </w:r>
    </w:p>
    <w:p>
      <w:pPr>
        <w:spacing w:after="60" w:before="0" w:line="26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Approved with conditions (list the blocking Needs-change / open items below).</w:t>
      </w:r>
    </w:p>
    <w:p>
      <w:pPr>
        <w:spacing w:after="60" w:before="0" w:line="264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Not approved.</w:t>
      </w:r>
    </w:p>
    <w:p>
      <w:pPr>
        <w:spacing w:after="60" w:before="0" w:line="264"/>
      </w:pPr>
      <w:r>
        <w:rPr>
          <w:rFonts w:ascii="Calibri" w:cs="Calibri" w:eastAsia="Calibri" w:hAnsi="Calibri"/>
          <w:b/>
          <w:bCs/>
          <w:color w:val="5B6b7a"/>
          <w:sz w:val="18"/>
          <w:szCs w:val="18"/>
        </w:rPr>
        <w:t xml:space="preserve">Conditions / open items:  </w:t>
      </w: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__________________________________________________________________________</w:t>
      </w:r>
    </w:p>
    <w:p>
      <w:pPr>
        <w:spacing w:after="200" w:before="0" w:line="264"/>
      </w:pPr>
      <w:r>
        <w:rPr>
          <w:rFonts w:ascii="Calibri" w:cs="Calibri" w:eastAsia="Calibri" w:hAnsi="Calibri"/>
          <w:color w:val="9AA5B1"/>
          <w:sz w:val="20"/>
          <w:szCs w:val="20"/>
        </w:rPr>
        <w:t xml:space="preserve">________________________________________________________________________________________________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4560"/>
        <w:gridCol w:w="4800"/>
      </w:tblGrid>
      <w:tr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Reviewer 1 — signature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Printed name / license #</w:t>
            </w:r>
          </w:p>
        </w:tc>
      </w:tr>
      <w:tr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________________________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Date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Calibri" w:cs="Calibri" w:eastAsia="Calibri" w:hAnsi="Calibri"/>
          <w:color w:val="1F2933"/>
          <w:sz w:val="10"/>
          <w:szCs w:val="10"/>
        </w:rPr>
        <w:t xml:space="preserve"> </w:t>
      </w:r>
    </w:p>
    <w:tbl>
      <w:tblPr>
        <w:tblW w:type="dxa" w:w="936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</w:tblPr>
      <w:tblGrid>
        <w:gridCol w:w="4560"/>
        <w:gridCol w:w="4800"/>
      </w:tblGrid>
      <w:tr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________________________________________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Reviewer 2 — signature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__________________________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Printed name / license #</w:t>
            </w:r>
          </w:p>
        </w:tc>
      </w:tr>
      <w:tr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________________________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B6b7a"/>
                <w:sz w:val="16"/>
                <w:szCs w:val="16"/>
              </w:rPr>
              <w:t xml:space="preserve">Date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color w:val="5B6b7a"/>
        <w:sz w:val="14"/>
        <w:szCs w:val="14"/>
      </w:rPr>
      <w:t xml:space="preserve">Confidential clinical governance record — </w:t>
    </w:r>
    <w:r>
      <w:rPr>
        <w:rFonts w:ascii="Calibri" w:cs="Calibri" w:eastAsia="Calibri" w:hAnsi="Calibri"/>
        <w:color w:val="5B6b7a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5B6b7a"/>
        <w:sz w:val="14"/>
        <w:szCs w:val="14"/>
      </w:rPr>
      <w:t xml:space="preserve">Steady — Clinician Sign-Off Form  ·  beta-provisional-2026-07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AA5B1" w:sz="8"/>
      </w:pBdr>
      <w:spacing w:after="140" w:before="28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29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Steady Autonomous Safety — Clinician Sign-Off Form</dc:title>
  <dc:creator>Steady</dc:creator>
  <cp:lastModifiedBy>Un-named</cp:lastModifiedBy>
  <cp:revision>1</cp:revision>
  <dcterms:created xsi:type="dcterms:W3CDTF">2026-07-22T18:18:12.955Z</dcterms:created>
  <dcterms:modified xsi:type="dcterms:W3CDTF">2026-07-22T18:18:12.955Z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