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STEADY — AUTONOMOUS SAFETY SYSTEM</w:t>
      </w:r>
    </w:p>
    <w:p>
      <w:pPr>
        <w:pBdr>
          <w:bottom w:val="single" w:color="1F3A5F" w:sz="12"/>
        </w:pBdr>
        <w:spacing w:after="160"/>
      </w:pPr>
      <w:r>
        <w:rPr>
          <w:rFonts w:ascii="Calibri" w:cs="Calibri" w:eastAsia="Calibri" w:hAnsi="Calibri"/>
          <w:b/>
          <w:bCs/>
          <w:color w:val="1F2933"/>
          <w:sz w:val="34"/>
          <w:szCs w:val="34"/>
        </w:rPr>
        <w:t xml:space="preserve">Independent Licensed-Clinician Sign-Off Form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Configuration under review: </w:t>
      </w: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beta-provisional-2026-07</w:t>
      </w:r>
    </w:p>
    <w:p>
      <w:pPr>
        <w:spacing w:after="160" w:before="0" w:line="264"/>
      </w:pP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Date of review: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__________________        </w:t>
      </w: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Review session / ref: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__________________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Purpose.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Steady's safety decisions are made by a deterministic rule engine currently running in </w:t>
      </w: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shadow mode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 (it computes and logs, but governs nothing a member sees). Before it may govern any real member, the clinician-authored corpus requires review and sign-off by at least two independent licensed trauma clinicians. This form is the paper record of that review. Every value below is </w:t>
      </w:r>
      <w:r>
        <w:rPr>
          <w:rFonts w:ascii="Calibri" w:cs="Calibri" w:eastAsia="Calibri" w:hAnsi="Calibri"/>
          <w:i/>
          <w:iCs/>
          <w:color w:val="1F2933"/>
          <w:sz w:val="20"/>
          <w:szCs w:val="20"/>
        </w:rPr>
        <w:t xml:space="preserve">provisional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 until ratified here.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How to use.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Complete all five parts. Part 1 captures reviewer identity and credentials. Part 2 resolves the numeric conflicts the specification left open — these feed a configuration change, after which the config version increments and Part 3 is ratified against the new values. Part 3 is the rule-by-rule ratification that mirrors the in-app Autonomous Review console (“Agree / Needs-change” per rule) — you may complete it in the app instead, but this sheet gives the same coverage on paper and maps 1:1 to the console's CSV export. Part 4 is the out-of-app evidence package. Part 5 is the attestation and signatures.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color w:val="5B6b7a"/>
          <w:sz w:val="18"/>
          <w:szCs w:val="18"/>
        </w:rPr>
        <w:t xml:space="preserve">Legend:  </w:t>
      </w:r>
      <w:r>
        <w:rPr>
          <w:rFonts w:ascii="Calibri" w:cs="Calibri" w:eastAsia="Calibri" w:hAnsi="Calibri"/>
          <w:color w:val="5B6b7a"/>
          <w:sz w:val="18"/>
          <w:szCs w:val="18"/>
        </w:rPr>
        <w:t xml:space="preserve">🔴 blocks real-member use    🟡 resolve before pilot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Part 1 — Reviewer identity &amp; credentials</w:t>
      </w:r>
    </w:p>
    <w:p>
      <w:pPr>
        <w:spacing w:after="80" w:before="0" w:line="264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corpus (Vol I App. C) requires named, credentialed, signed reviewers; at least two independent licensed trauma clinicians must sign. Add pages for further reviewers.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Reviewer 1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Full name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Professional title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License type &amp; number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Jurisdiction / state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EMDR training / certification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Trauma-clinical experience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Independence attestation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Calibri" w:cs="Calibri" w:eastAsia="Calibri" w:hAnsi="Calibri"/>
          <w:color w:val="1F2933"/>
          <w:sz w:val="8"/>
          <w:szCs w:val="8"/>
        </w:rPr>
        <w:t xml:space="preserve"> 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Reviewer 2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Full name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Professional title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License type &amp; number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Jurisdiction / state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EMDR training / certification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Trauma-clinical experience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Independence attestation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Part 2 — Numeric conflict resolution (ledger Section A)</w:t>
      </w:r>
    </w:p>
    <w:p>
      <w:pPr>
        <w:spacing w:after="80" w:before="0" w:line="264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specification's main body, Appendix A, and advisor worksheet give different numbers for the parameters below. Beta uses the safest value. Record the authoritative ruling and rationale for each; the four 🔴 items block real-member use until resolved. A7 and A8 are explicit placeholders that “nothing ships without.”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640"/>
        <w:gridCol w:w="2100"/>
        <w:gridCol w:w="3160"/>
        <w:gridCol w:w="3460"/>
      </w:tblGrid>
      <w:tr>
        <w:trPr>
          <w:tblHeader/>
        </w:trPr>
        <w:tc>
          <w:tcPr>
            <w:tcW w:type="dxa" w:w="6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1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31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Conflict / beta value</w:t>
            </w:r>
          </w:p>
        </w:tc>
        <w:tc>
          <w:tcPr>
            <w:tcW w:type="dxa" w:w="34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Authoritative ruling (write value + rationale)</w:t>
            </w:r>
          </w:p>
        </w:tc>
      </w:tr>
      <w:tr>
        <w:tc>
          <w:tcPr>
            <w:tcW w:type="dxa" w:w="640"/>
            <w:shd w:fill="FBE9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Readiness formula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Conflict: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Weighted 0–100 (main body) vs multiplier-based (Appendix A) — different caps, track names, boundaries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Beta uses: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Multiplier + caps; tracks grounding / cautious / steady (caps are the safety mechanism: &lt;fully-safe → ceiling 30; low pause-capacity → ceiling 60)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640"/>
            <w:shd w:fill="FBE9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In-session SUDS rule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Conflict: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Delta-based (+1 pause / +2 containment) vs absolute (≥8 / ≥9 + rise-of-3, App A)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Beta uses: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Conservative UNION: containment on Δ≥2 OR absolute ≥8 OR rise-≥3-over-start; hard-stop at ≥9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640"/>
            <w:shd w:fill="FFF8E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A3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Session duration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Conflict: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30 / 40 min (main) vs 35 / 45 min (App A + advisor R4)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Beta uses: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30 min wind-down / 40 min hard-stop (shorter)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640"/>
            <w:shd w:fill="FFF8E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A4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Containment-ending cooldown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Conflict: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48 h (main + crosswalk) vs 24 h (advisor R21)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Beta uses: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48 h (longer)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640"/>
            <w:shd w:fill="FFF8E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A5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Max stimulation sets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Conflict: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3 (main) vs 2–3 (advisor) vs 2 (beta)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Beta uses: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2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640"/>
            <w:shd w:fill="FFF8E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A6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Hospitalization exclusion window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Conflict: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0–90 d / 91–365 review (main) vs 12-mo standing (screener)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Beta uses: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12-month standing (more conservative)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640"/>
            <w:shd w:fill="FBE9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A7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BLS speed &amp; closure minimum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Conflict: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Main lists 1.25 Hz / 120 s; advisor worksheet marks BOTH “none in codebase — nothing ships without this row”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Beta uses: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Beta 1.0 / 1.25 / 1.5 Hz range, 3/s flash ceiling, 120 s closure — PLACEHOLDERS pending this sign-off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640"/>
            <w:shd w:fill="FBE9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A8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Program-fit item wording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Conflict: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Placeholder pending advisor R15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Beta uses: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fit-v1-placeholder — NOT final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640"/>
            <w:shd w:fill="FFF8E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A9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DES-II inclusion &amp; licensing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Conflict: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Not yet selected (advisor R22); commercial licensing unverified (R10)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Beta uses: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Omitted from beta until adopted + licensed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640"/>
            <w:shd w:fill="FFF8E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A10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State vs trait split on screener items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Conflict: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Advisor R18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Beta uses: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Beta split per digest — confirm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Part 3 — Deterministic rule ratification (ledger Sections B–D)</w:t>
      </w:r>
    </w:p>
    <w:p>
      <w:pPr>
        <w:spacing w:after="80" w:before="0" w:line="264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Confirm each immutable rule's threshold/behavior is clinically correct. Mark Agree or Needs-change for every rule; when you mark Needs-change, state the specific required change inline in the last column (add a page if you need more room). Rule IDs match the console register and CSV export at the config version above.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3.1  Access &amp; gating rules (program-fit, daily routing, instruments, readiness)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1560"/>
        <w:gridCol w:w="3560"/>
        <w:gridCol w:w="1440"/>
        <w:gridCol w:w="2800"/>
      </w:tblGrid>
      <w:tr>
        <w:trPr>
          <w:tblHeader/>
        </w:trPr>
        <w:tc>
          <w:tcPr>
            <w:tcW w:type="dxa" w:w="1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 ID</w:t>
            </w:r>
          </w:p>
        </w:tc>
        <w:tc>
          <w:tcPr>
            <w:tcW w:type="dxa" w:w="3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Threshold / behavior to ratify</w:t>
            </w:r>
          </w:p>
        </w:tc>
        <w:tc>
          <w:tcPr>
            <w:tcW w:type="dxa" w:w="14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If Needs-change: state the required change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FIT_UNDER_18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Under 18 → not eligible (adults 18+ only).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FIT_SELFHARM_30D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Recent self-harm (30 d) → crisis routing, human support first.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FIT_UNSAFE_SITUATION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Current situation not safe → crisis routing.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FIT_PSYCHOTIC_DISSOCIATIVE_DX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Psychotic/dissociative dx → standing restriction (reversible only by support contact).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FIT_HOSPITALIZATION_12M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Psychiatric hospitalization in 12 mo → standing restriction (ledger A6).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FIT_SUBSTANCE_DEPENDENCE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Substance dependence → standing restriction.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FIT_SEIZURE_PHOTOSENSITIVE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Seizure / photosensitivity → visual movement disabled for the account.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FIT_ACUTE_MEDICAL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Acute medical concern → gentle pacing + extra resources.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ACUTE_TRAUMA_30D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Trauma within 30 d → grounding/orientation only, no BLS (Vol I A-8).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DAILY_HARM_URGE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Daily check-in flags harm urge → crisis routing.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DAILY_NOT_SAFE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Daily: cannot keep self safe → crisis routing.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CRISIS_PHQ9_ITEM9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PHQ-9 item 9 ≥ 1 (ANY nonzero) → 72 h stabilization + one binary safety question.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CRISIS_PCL5_ITEM16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PCL-5 item 16 ≥ 3 → 72 h stabilization + safety question.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DAILY_DISSOCIATION_7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Daily dissociation ≥ 7 → grounding only.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DAILY_ACTIVATION_8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Daily activation ≥ 8 → grounding only.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DAILY_SHUTDOWN_8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Daily shutdown ≥ 8 → grounding only.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DAILY_INTOXICATION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Intoxication reported → activating work rests, grounding open.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DAILY_DISSOCIATION_4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Daily dissociation 4–6 → stabilization (activating work waits).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DAILY_SLEEP_LOW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Sleep ≤ 2 → stabilization.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DAILY_SUBSTANCE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Substance use reported → lower intensity, stabilization open.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MISSING_CHECKIN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No check-in today → grounding only until completed (missing input never favorable).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DES2_HIGH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DES-II ≥ 30 → grounding-first + imagery restriction + clinician referral.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DES2_CAUTION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DES-II 20–29.99 → gentle, state-dependent imagery (silent caution).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PCL5_WEEKLY_RISE_10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PCL-5 week-over-week rise ≥ 10 → 14-day cautious ceiling + support.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ITQ_COMBINED_RISE_8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ITQ (PTSD+DSO) weekly rise ≥ 8 → 14-day cautious ceiling + support.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READY_RISK_FLAG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Any active safety flag → route to support before anything else.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READY_LESS_THAN_SAFE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Less-than-fully-safe → readiness capped at stabilization band (ceiling 30).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READY_PAUSE_CAPACITY_LOW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Low pause-capacity → cautious band (ceiling 60); build pause skill first.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REENTRY_PENDING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Return after a rest → fresh check-in + grounding, access opens gradually.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 w:before="80" w:line="264"/>
      </w:pPr>
      <w:r>
        <w:rPr>
          <w:rFonts w:ascii="Calibri" w:cs="Calibri" w:eastAsia="Calibri" w:hAnsi="Calibri"/>
          <w:b/>
          <w:bCs/>
          <w:color w:val="5B6b7a"/>
          <w:sz w:val="18"/>
          <w:szCs w:val="18"/>
        </w:rPr>
        <w:t xml:space="preserve">Additional notes for this group (optional): </w:t>
      </w: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</w:t>
      </w:r>
    </w:p>
    <w:p>
      <w:pPr>
        <w:spacing w:after="80" w:before="0" w:line="264"/>
      </w:pP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________________________________________________________________________________________________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3.2  In-session runtime &amp; bilateral-stimulation rules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1560"/>
        <w:gridCol w:w="3560"/>
        <w:gridCol w:w="1440"/>
        <w:gridCol w:w="2800"/>
      </w:tblGrid>
      <w:tr>
        <w:trPr>
          <w:tblHeader/>
        </w:trPr>
        <w:tc>
          <w:tcPr>
            <w:tcW w:type="dxa" w:w="1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 ID</w:t>
            </w:r>
          </w:p>
        </w:tc>
        <w:tc>
          <w:tcPr>
            <w:tcW w:type="dxa" w:w="3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Threshold / behavior to ratify</w:t>
            </w:r>
          </w:p>
        </w:tc>
        <w:tc>
          <w:tcPr>
            <w:tcW w:type="dxa" w:w="14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If Needs-change: state the required change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SESSION_START_SUDS_CEILING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Deny stimulation if starting SUDS &gt; 5.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SESSION_MAX_SETS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At most 2 stimulation sets per session (beta).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SESSION_CONTAINMENT_DELTA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Containment if post-set SUDS rises by ≥ 2.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SESSION_CONTAINMENT_ABSOLUTE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Containment if post-set SUDS reaches ≥ 8.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SESSION_HARD_STOP_SUDS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Hard-stop containment if SUDS reaches ≥ 9.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SESSION_RISE_OVER_START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Containment if SUDS rises ≥ 3 over the starting value.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SESSION_TWO_RISES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Containment after two consecutive +1 rises.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SESSION_NO_CHANGE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Close (no more sets) if SUDS unchanged across 2 sets (“stuck is a stop signal”).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SESSION_DISSOCIATION_STOP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Stop the exercise if in-session dissociation reaches ≥ 4.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SESSION_ORIENTATION_STOP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Stop + re-orient if the member is not oriented to the present.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SESSION_WIND_DOWN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Wind-down (no new sets) at 30 minutes.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SESSION_HARD_STOP_TIME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Force closure at 40 minutes.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SESSION_CLOSURE_MIN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Mandatory closure ≥ 120 s regardless of score.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SESSION_GROUND_ME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Ground-Me: one-tap halt, locks stimulation for the session, no return.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BLS_HZ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Bilateral stimulation 1.0–1.5 Hz (default 1.25); no adaptive speed, no mid-set increase.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BLS_NO_VISUAL_BETA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No visual BLS in beta (auditory + self-tapping only).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BLS_FLASH_CEILING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Visual flashes never exceed 3 / sec (WCAG 2.3.2).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BLS_TIMING_FAILURE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On a timing failure: stop the set; never catch up or resume.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 w:before="80" w:line="264"/>
      </w:pPr>
      <w:r>
        <w:rPr>
          <w:rFonts w:ascii="Calibri" w:cs="Calibri" w:eastAsia="Calibri" w:hAnsi="Calibri"/>
          <w:b/>
          <w:bCs/>
          <w:color w:val="5B6b7a"/>
          <w:sz w:val="18"/>
          <w:szCs w:val="18"/>
        </w:rPr>
        <w:t xml:space="preserve">Additional notes for this group (optional): </w:t>
      </w: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</w:t>
      </w:r>
    </w:p>
    <w:p>
      <w:pPr>
        <w:spacing w:after="80" w:before="0" w:line="264"/>
      </w:pP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________________________________________________________________________________________________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3.3  Voice input &amp; live spoken-session guardrails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1560"/>
        <w:gridCol w:w="3560"/>
        <w:gridCol w:w="1440"/>
        <w:gridCol w:w="2800"/>
      </w:tblGrid>
      <w:tr>
        <w:trPr>
          <w:tblHeader/>
        </w:trPr>
        <w:tc>
          <w:tcPr>
            <w:tcW w:type="dxa" w:w="1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 ID</w:t>
            </w:r>
          </w:p>
        </w:tc>
        <w:tc>
          <w:tcPr>
            <w:tcW w:type="dxa" w:w="3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Threshold / behavior to ratify</w:t>
            </w:r>
          </w:p>
        </w:tc>
        <w:tc>
          <w:tcPr>
            <w:tcW w:type="dxa" w:w="14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If Needs-change: state the required change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VOICE_INPUT_ENABLED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Voice answers a free-text reflection; typing always available (equivalent typed path).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VOICE_INPUT_ON_DEVICE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On-device transcription; raw audio never uploaded/stored; only confirmed transcript kept (encrypted).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VOICE_INPUT_CONFIRM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Recognized text is shown editable; member confirms before it enters the record.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VOICE_INPUT_SCOPE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Voice only for free-text reflection — never SUDS, fit-screening, or any safety-gate input.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VOICE_INPUT_CONSENT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Distinct versioned voice/biometric consent + counsel review before non-demo use.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LIVE_SESSION_ENGINE_OWNS_FLOW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Responder returns words + at most a Ground-me hint; never continues a set / ends closure / overrides a stop.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LIVE_SESSION_CRISIS_SCRIPTED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Crisis checked first; crisis / high-activation replies scripted → Ground-me + 988, never AI.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LIVE_SESSION_BOUNDED_RESPONSE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Never instructs reprocessing, never claims feelings/outcomes; every line passes the output guard.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LIVE_SESSION_DEMO_GATED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Off for real members (demo/flag only); needs clinician sign-off + voice consent.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 w:before="80" w:line="264"/>
      </w:pPr>
      <w:r>
        <w:rPr>
          <w:rFonts w:ascii="Calibri" w:cs="Calibri" w:eastAsia="Calibri" w:hAnsi="Calibri"/>
          <w:b/>
          <w:bCs/>
          <w:color w:val="5B6b7a"/>
          <w:sz w:val="18"/>
          <w:szCs w:val="18"/>
        </w:rPr>
        <w:t xml:space="preserve">Additional notes for this group (optional): </w:t>
      </w: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</w:t>
      </w:r>
    </w:p>
    <w:p>
      <w:pPr>
        <w:spacing w:after="80" w:before="0" w:line="264"/>
      </w:pP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________________________________________________________________________________________________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3.4  Therapy knowledge-base retrieval guardrails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1560"/>
        <w:gridCol w:w="3560"/>
        <w:gridCol w:w="1440"/>
        <w:gridCol w:w="2800"/>
      </w:tblGrid>
      <w:tr>
        <w:trPr>
          <w:tblHeader/>
        </w:trPr>
        <w:tc>
          <w:tcPr>
            <w:tcW w:type="dxa" w:w="1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 ID</w:t>
            </w:r>
          </w:p>
        </w:tc>
        <w:tc>
          <w:tcPr>
            <w:tcW w:type="dxa" w:w="3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Threshold / behavior to ratify</w:t>
            </w:r>
          </w:p>
        </w:tc>
        <w:tc>
          <w:tcPr>
            <w:tcW w:type="dxa" w:w="14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If Needs-change: state the required change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KB_ADVISORY_ONLY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Therapy KB is advisory to phrasing only; never makes/changes a safety decision.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KB_TIER_GATED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Retrieval gated by member tier/state; crisis tier gets no KB content.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KB_OUTPUT_GUARDED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Every KB-informed line still passes the deterministic output guard.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KB_RESTRICTED_TOPICS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Restricted topics (reprocessing instructions, etc.) never retrievable.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KB_DETERMINISTIC_RETRIEVAL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Retrieval is deterministic (tier/activation/dissociation-gated), not model-chosen.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KB_AVOIDWHEN_ADVISORY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“Avoid-when” conditions on techniques are honored as hard filters.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KB_UNKNOWN_STATE_CONSERVATIVE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Unknown/missing state → most conservative retrieval (or none).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 w:before="80" w:line="264"/>
      </w:pPr>
      <w:r>
        <w:rPr>
          <w:rFonts w:ascii="Calibri" w:cs="Calibri" w:eastAsia="Calibri" w:hAnsi="Calibri"/>
          <w:b/>
          <w:bCs/>
          <w:color w:val="5B6b7a"/>
          <w:sz w:val="18"/>
          <w:szCs w:val="18"/>
        </w:rPr>
        <w:t xml:space="preserve">Additional notes for this group (optional): </w:t>
      </w: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</w:t>
      </w:r>
    </w:p>
    <w:p>
      <w:pPr>
        <w:spacing w:after="80" w:before="0" w:line="264"/>
      </w:pP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________________________________________________________________________________________________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3.5  Human-in-the-loop checkpoints — confirm none is silently removed</w:t>
      </w:r>
    </w:p>
    <w:p>
      <w:pPr>
        <w:spacing w:after="60" w:before="0" w:line="264"/>
      </w:pPr>
      <w:r>
        <w:rPr>
          <w:rFonts w:ascii="Calibri" w:cs="Calibri" w:eastAsia="Calibri" w:hAnsi="Calibri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AI never determines crisis status, dissociation, readiness, emergency routing, stimulation parameters, or eligibility (structurally enforced).</w:t>
      </w:r>
    </w:p>
    <w:p>
      <w:pPr>
        <w:spacing w:after="60" w:before="0" w:line="264"/>
      </w:pPr>
      <w:r>
        <w:rPr>
          <w:rFonts w:ascii="Calibri" w:cs="Calibri" w:eastAsia="Calibri" w:hAnsi="Calibri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No autonomous emergency-services dispatch (out of scope for beta).</w:t>
      </w:r>
    </w:p>
    <w:p>
      <w:pPr>
        <w:spacing w:after="60" w:before="0" w:line="264"/>
      </w:pPr>
      <w:r>
        <w:rPr>
          <w:rFonts w:ascii="Calibri" w:cs="Calibri" w:eastAsia="Calibri" w:hAnsi="Calibri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Escalation never promises more human oversight than is actually staffed; never implies continuous monitoring.</w:t>
      </w:r>
    </w:p>
    <w:p>
      <w:pPr>
        <w:spacing w:after="60" w:before="0" w:line="264"/>
      </w:pPr>
      <w:r>
        <w:rPr>
          <w:rFonts w:ascii="Calibri" w:cs="Calibri" w:eastAsia="Calibri" w:hAnsi="Calibri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DES-II ≥ 30 / DSO-predominant / repeated re-entry failures route to a clinician pathway.</w:t>
      </w:r>
    </w:p>
    <w:p>
      <w:pPr>
        <w:spacing w:after="60" w:before="0" w:line="264"/>
      </w:pPr>
      <w:r>
        <w:rPr>
          <w:rFonts w:ascii="Calibri" w:cs="Calibri" w:eastAsia="Calibri" w:hAnsi="Calibri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Trait hard-stops (psychotic/dissociative dx, recent hospitalization, substance dependence) reversible only by support contact — never by re-answering.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Part 4 — Validation &amp; deployment evidence (ledger Section E)</w:t>
      </w:r>
    </w:p>
    <w:p>
      <w:pPr>
        <w:spacing w:after="80" w:before="0" w:line="264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These deliverables are produced outside the app. Record status and where the evidence lives.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900"/>
        <w:gridCol w:w="5560"/>
        <w:gridCol w:w="2900"/>
      </w:tblGrid>
      <w:tr>
        <w:trPr>
          <w:tblHeader/>
        </w:trPr>
        <w:tc>
          <w:tcPr>
            <w:tcW w:type="dxa" w:w="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Sev.</w:t>
            </w:r>
          </w:p>
        </w:tc>
        <w:tc>
          <w:tcPr>
            <w:tcW w:type="dxa" w:w="5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Deployment / validation gate</w:t>
            </w:r>
          </w:p>
        </w:tc>
        <w:tc>
          <w:tcPr>
            <w:tcW w:type="dxa" w:w="2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+ evidence reference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Independent review by ≥ 2 licensed trauma clinicians of scope / thresholds / stop-rules / dissociation / crisis-routing / user language.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Evidence matrix mapping every parameter to supporting / absent evidence.</w:t>
            </w:r>
          </w:p>
        </w:tc>
        <w:tc>
          <w:tcPr>
            <w:tcW w:type="dxa" w:w="2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Clinical implementation spec (decision tables, state transitions, pseudocode, test cases).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Privacy / security review by qualified professionals (separate from clinical design).</w:t>
            </w:r>
          </w:p>
        </w:tc>
        <w:tc>
          <w:tcPr>
            <w:tcW w:type="dxa" w:w="2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🟡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Human-factors testing (comprehension, interruption recovery, behavior under stress).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🟡</w:t>
            </w:r>
          </w:p>
        </w:tc>
        <w:tc>
          <w:tcPr>
            <w:tcW w:type="dxa" w:w="5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Technical verification (deterministic routing, logging, crash recovery, regression).</w:t>
            </w:r>
          </w:p>
        </w:tc>
        <w:tc>
          <w:tcPr>
            <w:tcW w:type="dxa" w:w="2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Staged validation Phases 1→4 with predefined progression / stopping criteria.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Claims / communications review — preparation-only scope consistent across all channels.</w:t>
            </w:r>
          </w:p>
        </w:tc>
        <w:tc>
          <w:tcPr>
            <w:tcW w:type="dxa" w:w="2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Model safety gates + pilot entry: no unresolved critical red-team findings.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Part 5 — Attestation &amp; signatures</w:t>
      </w:r>
    </w:p>
    <w:p>
      <w:pPr>
        <w:spacing w:after="80" w:before="0" w:line="264"/>
      </w:pPr>
      <w:r>
        <w:rPr>
          <w:rFonts w:ascii="Calibri" w:cs="Calibri" w:eastAsia="Calibri" w:hAnsi="Calibri"/>
          <w:color w:val="1F2933"/>
          <w:sz w:val="20"/>
          <w:szCs w:val="20"/>
        </w:rPr>
        <w:t xml:space="preserve">By signing, each reviewer attests that: they are an independent, licensed clinician with trauma expertise; they have reviewed the scope, thresholds, stop-rules, dissociation handling, crisis routing, and member-facing language of the configuration named above; the “Agree” verdicts recorded here reflect their clinical judgment; and any “Needs-change” items must be resolved and re-reviewed before that rule governs a real member. This sign-off applies only to configuration version </w:t>
      </w: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beta-provisional-2026-07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; any change to a signed value resets its sign-off.</w:t>
      </w:r>
    </w:p>
    <w:p>
      <w:pPr>
        <w:spacing w:after="60" w:before="120" w:line="264"/>
      </w:pP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Overall determination:</w:t>
      </w:r>
    </w:p>
    <w:p>
      <w:pPr>
        <w:spacing w:after="60" w:before="0" w:line="264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Approved to proceed to staged activation (all 🔴 items resolved, all rules Agree).</w:t>
      </w:r>
    </w:p>
    <w:p>
      <w:pPr>
        <w:spacing w:after="60" w:before="0" w:line="264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Approved with conditions (list the blocking Needs-change / open items below).</w:t>
      </w:r>
    </w:p>
    <w:p>
      <w:pPr>
        <w:spacing w:after="60" w:before="0" w:line="264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Not approved.</w:t>
      </w:r>
    </w:p>
    <w:p>
      <w:pPr>
        <w:spacing w:after="60" w:before="0" w:line="264"/>
      </w:pPr>
      <w:r>
        <w:rPr>
          <w:rFonts w:ascii="Calibri" w:cs="Calibri" w:eastAsia="Calibri" w:hAnsi="Calibri"/>
          <w:b/>
          <w:bCs/>
          <w:color w:val="5B6b7a"/>
          <w:sz w:val="18"/>
          <w:szCs w:val="18"/>
        </w:rPr>
        <w:t xml:space="preserve">Conditions / open items:  </w:t>
      </w: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__________________________________________________________________________</w:t>
      </w:r>
    </w:p>
    <w:p>
      <w:pPr>
        <w:spacing w:after="200" w:before="0" w:line="264"/>
      </w:pP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________________________________________________________________________________________________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4560"/>
        <w:gridCol w:w="4800"/>
      </w:tblGrid>
      <w:tr>
        <w:tc>
          <w:tcPr>
            <w:tcW w:type="dxa" w:w="4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________________________________________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6"/>
                <w:szCs w:val="16"/>
              </w:rPr>
              <w:t xml:space="preserve">Reviewer 1 — signature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6"/>
                <w:szCs w:val="16"/>
              </w:rPr>
              <w:t xml:space="preserve">Printed name / license #</w:t>
            </w:r>
          </w:p>
        </w:tc>
      </w:tr>
      <w:tr>
        <w:tc>
          <w:tcPr>
            <w:tcW w:type="dxa" w:w="4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________________________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6"/>
                <w:szCs w:val="16"/>
              </w:rPr>
              <w:t xml:space="preserve">Date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Calibri" w:cs="Calibri" w:eastAsia="Calibri" w:hAnsi="Calibri"/>
          <w:color w:val="1F2933"/>
          <w:sz w:val="10"/>
          <w:szCs w:val="10"/>
        </w:rPr>
        <w:t xml:space="preserve"> 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4560"/>
        <w:gridCol w:w="4800"/>
      </w:tblGrid>
      <w:tr>
        <w:tc>
          <w:tcPr>
            <w:tcW w:type="dxa" w:w="4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________________________________________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6"/>
                <w:szCs w:val="16"/>
              </w:rPr>
              <w:t xml:space="preserve">Reviewer 2 — signature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6"/>
                <w:szCs w:val="16"/>
              </w:rPr>
              <w:t xml:space="preserve">Printed name / license #</w:t>
            </w:r>
          </w:p>
        </w:tc>
      </w:tr>
      <w:tr>
        <w:tc>
          <w:tcPr>
            <w:tcW w:type="dxa" w:w="4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________________________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6"/>
                <w:szCs w:val="16"/>
              </w:rPr>
              <w:t xml:space="preserve">Date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rFonts w:ascii="Calibri" w:cs="Calibri" w:eastAsia="Calibri" w:hAnsi="Calibri"/>
        <w:color w:val="5B6b7a"/>
        <w:sz w:val="14"/>
        <w:szCs w:val="14"/>
      </w:rPr>
      <w:t xml:space="preserve">Confidential clinical governance record — </w:t>
    </w:r>
    <w:r>
      <w:rPr>
        <w:rFonts w:ascii="Calibri" w:cs="Calibri" w:eastAsia="Calibri" w:hAnsi="Calibri"/>
        <w:color w:val="5B6b7a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5B6b7a"/>
        <w:sz w:val="14"/>
        <w:szCs w:val="14"/>
      </w:rPr>
      <w:t xml:space="preserve">Steady — Clinician Sign-Off Form  ·  beta-provisional-2026-07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9AA5B1" w:sz="8"/>
      </w:pBdr>
      <w:spacing w:after="140" w:before="280"/>
    </w:pPr>
    <w:rPr>
      <w:rFonts w:ascii="Calibri" w:cs="Calibri" w:eastAsia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F29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Steady Autonomous Safety — Clinician Sign-Off Form</dc:title>
  <dc:creator>Steady</dc:creator>
  <cp:lastModifiedBy>Un-named</cp:lastModifiedBy>
  <cp:revision>1</cp:revision>
  <dcterms:created xsi:type="dcterms:W3CDTF">2026-07-22T18:40:54.206Z</dcterms:created>
  <dcterms:modified xsi:type="dcterms:W3CDTF">2026-07-22T18:40:54.218Z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