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86AB"/>
          <w:sz w:val="28"/>
          <w:szCs w:val="28"/>
        </w:rPr>
        <w:t xml:space="preserve">ENTITY RELATIONSHIP DIAGRAM</w:t>
      </w:r>
    </w:p>
    <w:p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 xml:space="preserve">HWMS — Diagram Relasi Entitas</w:t>
      </w:r>
    </w:p>
    <w:p>
      <w:pPr>
        <w:spacing w:after="600"/>
        <w:jc w:val="center"/>
      </w:pPr>
      <w:r>
        <w:rPr>
          <w:i/>
          <w:iCs/>
          <w:color w:val="666666"/>
          <w:sz w:val="25"/>
          <w:szCs w:val="25"/>
        </w:rPr>
        <w:t xml:space="preserve">Representasi Visual Skema Database — Pendamping TDD v1.0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PT Indotek Buana Karya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 1.0 — Juli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Cara Membaca Diagram</w:t>
      </w:r>
    </w:p>
    <w:p>
      <w:pPr>
        <w:spacing w:after="120"/>
      </w:pPr>
      <w:r>
        <w:rPr>
          <w:sz w:val="22"/>
          <w:szCs w:val="22"/>
        </w:rPr>
        <w:t xml:space="preserve">ERD ini memakai notasi crow's foot. Skema dipecah menjadi tiga domain agar terbaca; entitas yang muncul di lebih dari satu domain (terutama USERS, PROJECTS, TASKS) adalah titik sambung antar-domain — sama entitas, digambar ulang untuk konteks.</w:t>
      </w:r>
    </w:p>
    <w:p>
      <w:pPr>
        <w:pStyle w:val="Heading2"/>
        <w:spacing w:after="140" w:before="260"/>
      </w:pPr>
      <w:r>
        <w:t xml:space="preserve">1.1 Notasi Kardinalitas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Simbol</w:t>
            </w:r>
          </w:p>
        </w:tc>
        <w:tc>
          <w:tcPr>
            <w:tcW w:type="dxa" w:w="748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|| — ||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Satu ke satu (tepat satu di kedua sisi)</w:t>
            </w:r>
          </w:p>
        </w:tc>
      </w:tr>
      <w:tr>
        <w:tc>
          <w:tcPr>
            <w:tcW w:type="dxa" w:w="187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|| — o{</w:t>
            </w:r>
          </w:p>
        </w:tc>
        <w:tc>
          <w:tcPr>
            <w:tcW w:type="dxa" w:w="748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Satu ke banyak (satu induk, nol/banyak anak) — pola paling umum di skema ini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}o — o{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Banyak ke banyak (diwujudkan lewat tabel penghubung, mis. team_members)</w:t>
            </w:r>
          </w:p>
        </w:tc>
      </w:tr>
    </w:tbl>
    <w:p>
      <w:pPr>
        <w:pStyle w:val="Heading2"/>
        <w:spacing w:after="140" w:before="260"/>
      </w:pPr>
      <w:r>
        <w:t xml:space="preserve">1.2 Penanda Kolom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Penanda</w:t>
            </w:r>
          </w:p>
        </w:tc>
        <w:tc>
          <w:tcPr>
            <w:tcW w:type="dxa" w:w="786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 key — semua entitas memakai UUID</w:t>
            </w:r>
          </w:p>
        </w:tc>
      </w:tr>
      <w:tr>
        <w:tc>
          <w:tcPr>
            <w:tcW w:type="dxa" w:w="149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786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Foreign key — relasi ke entitas lain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Unique key — nilai unik (mis. tasks.code, users.email)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Catatan: demi keterbacaan diagram, hanya kolom penting yang ditampilkan per entitas. Daftar kolom lengkap ada di Data Dictionary TDD §4. Kolom umum (tenant_id, created_at, updated_at, deleted_at) tidak diulang di tiap entitas kecuali tenant_id pada entitas akar.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Domain Inti — Task, Kehadiran &amp; Standup</w:t>
      </w:r>
    </w:p>
    <w:p>
      <w:pPr>
        <w:spacing w:after="120"/>
      </w:pPr>
      <w:r>
        <w:rPr>
          <w:sz w:val="22"/>
          <w:szCs w:val="22"/>
        </w:rPr>
        <w:t xml:space="preserve">Jantung sistem. Perhatikan jalur CHECKINS → STANDUP_ITEMS → TASKS: inilah mekanisme 'standup sebagai satu-satunya pintu update'. Setiap standup_item menautkan satu check-in ke satu task; saat check-out, percent_after disalin ke tasks.percent_complete dalam satu transaksi.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569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sz w:val="22"/>
          <w:szCs w:val="22"/>
        </w:rPr>
        <w:t xml:space="preserve">Relasi kunci domain ini: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TASKS ← STANDUP_ITEMS → CHECKINS: task diperbarui hanya melalui standup, bukan form terpisah.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TASK_ASSIGNMENTS menyimpan riwayat owner (bukan satu kolom owner) — owner aktif = unassigned_at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TASK_DEPENDENCIES adalah self-relation TASKS→TASKS (task_id bergantung pada depends_on_task_id).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BLOCKERS menaut ke TASKS dan ke USERS (pelapor); saat blocker dibuat, tasks.status menjadi BLOCKED.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tasks.kpi_id dan okr_kr_id sudah ada di skema sejak MVP (menaut ke domain governance), walau UI-nya baru di F3.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Domain Organisasi, Approval &amp; Kebijakan</w:t>
      </w:r>
    </w:p>
    <w:p>
      <w:pPr>
        <w:spacing w:after="120"/>
      </w:pPr>
      <w:r>
        <w:rPr>
          <w:sz w:val="22"/>
          <w:szCs w:val="22"/>
        </w:rPr>
        <w:t xml:space="preserve">USERS adalah pusat domain ini dan titik sambung ke seluruh sistem. Dua pola relasi yang perlu perhatian khusus saat implementasi ditandai di bawah.</w:t>
      </w:r>
    </w:p>
    <w:p>
      <w:pPr>
        <w:spacing w:after="160" w:before="80"/>
        <w:jc w:val="center"/>
      </w:pPr>
      <w:r>
        <w:drawing>
          <wp:inline distT="0" distB="0" distL="0" distR="0">
            <wp:extent cx="4953000" cy="597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sz w:val="22"/>
          <w:szCs w:val="22"/>
        </w:rPr>
        <w:t xml:space="preserve">Relasi kunci domain ini: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 → USERS (self-reference via manager_id): membentuk rantai atasan untuk approval dan eskalasi. Perlu penanganan hati-hati agar tidak ada siklus (A atasan B, B atasan 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LEAVE_REQUESTS punya DUA relasi ke USERS: user_id (pengaju) dan approver_id (penyetuju) — mudah tertukar saat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TEAM_MEMBERS adalah tabel penghubung many-to-many USERS↔TEAMS (satu user bisa di banyak tim; feed menampilkan gabungan).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POLICIES tidak menaut langsung ke USERS: kebijakan di-resolve saat runtime berdasarkan scope (TENANT/DEPARTMENT/ROLE), lalu WFH_QUOTAS memateralisasi penggunaan per user per minggu.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TENANTS adalah akar multi-tenant: semua entitas bisnis membawa tenant_id (di diagram hanya ditampilkan pada entitas akar demi keterbacaan).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Domain Governance &amp; Infrastruktur</w:t>
      </w:r>
    </w:p>
    <w:p>
      <w:pPr>
        <w:spacing w:after="120"/>
      </w:pPr>
      <w:r>
        <w:rPr>
          <w:sz w:val="22"/>
          <w:szCs w:val="22"/>
        </w:rPr>
        <w:t xml:space="preserve">Domain F2/F3 (KPI, OKR, Risk, Gate, Scorecard) plus tabel pendukung lintas modul (notifikasi, push, audit). Seluruh entitas sudah dibuat sejak migration awal (prinsip schema-complete); yang bertahap adalah UI dan agregasinya.</w:t>
      </w:r>
    </w:p>
    <w:p>
      <w:pPr>
        <w:spacing w:after="160" w:before="80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sz w:val="22"/>
          <w:szCs w:val="22"/>
        </w:rPr>
        <w:t xml:space="preserve">Relasi kunci domain ini: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OKRS → KEY_RESULTS → (tasks.okr_kr_id): membentuk 'garis pandang' dari objective strategis ke task harian.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KPIS menaut ke FUNCTIONAL_ROLES (KPI diukur per peran), dengan KPI_ACTUALS menyimpan nilai per periode.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GATES → GATE_DECISIONS: satu gerbang bulanan bisa punya riwayat keputusan (GO/NO_GO/CONDITIONAL).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SCORECARDS diisi job terjadwal (bukan real-time) di akhir sprint/bulan; nilai historis di-snapshot.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AUDIT_LOGS menaut ke USERS (aktor) dan mencatat perubahan entitas mana pun secara polimorfik (kolom entity + entity_id).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PUSH_SUBSCRIPTIONS mendukung multi-perangkat per user; endpoint mati dibersihkan job berkala.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Ringkasan Entitas per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5148"/>
        <w:gridCol w:w="1404"/>
      </w:tblGrid>
      <w:tr>
        <w:trPr>
          <w:tblHeader/>
        </w:trPr>
        <w:tc>
          <w:tcPr>
            <w:tcW w:type="dxa" w:w="280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5148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Entitas</w:t>
            </w:r>
          </w:p>
        </w:tc>
        <w:tc>
          <w:tcPr>
            <w:tcW w:type="dxa" w:w="140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Inti (task/kehadiran/standup)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projects, sprints, tasks, task_assignments, task_dependencies, task_evidences, checkins, standup_items, blockers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80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Organisasi/approval/kebijakan</w:t>
            </w:r>
          </w:p>
        </w:tc>
        <w:tc>
          <w:tcPr>
            <w:tcW w:type="dxa" w:w="5148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tenants, users, departments, functional_roles, teams, team_members, leave_requests, policies, wfh_quotas, locations*, holidays*, settings*</w:t>
            </w:r>
          </w:p>
        </w:tc>
        <w:tc>
          <w:tcPr>
            <w:tcW w:type="dxa" w:w="140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Governance/infrastruktur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kpis, kpi_actuals, okrs, key_results, risks, gates, gate_decisions, scorecards, review_notes*, notifications, push_subscriptions, audit_logs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*Entitas locations, holidays, settings, dan review_notes tidak digambar di diagram karena berdiri relatif mandiri (referensi/konfigurasi), tetapi tetap bagian skema — detail di TDD §4.</w:t>
      </w:r>
    </w:p>
    <w:p>
      <w:pPr>
        <w:spacing w:after="120"/>
      </w:pPr>
      <w:r>
        <w:rPr>
          <w:sz w:val="22"/>
          <w:szCs w:val="22"/>
        </w:rPr>
        <w:t xml:space="preserve">Total entitas skema: ±33 tabel (termasuk yang mandiri). Seluruhnya dibuat pada migration awal; label fase pada TDD menunjukkan kapan mulai dipakai, bukan kapan dibuat.</w:t>
      </w:r>
    </w:p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ERD HWMS v1.0 — PT Indotek Buana Karya — Rahasia Internal —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9dbc6a7602c6e904a55201dc35c50009661f2cf.undefined"/><Relationship Id="rId9" Type="http://schemas.openxmlformats.org/officeDocument/2006/relationships/image" Target="media/95bee42e61a69f806afb46a5305348e3668c59b7.undefined"/><Relationship Id="rId10" Type="http://schemas.openxmlformats.org/officeDocument/2006/relationships/image" Target="media/b4a9ec564af4aaf658a986fdfa5d62462fa281f9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2026-07-04T11:09:01.713Z</dcterms:created>
  <dcterms:modified xsi:type="dcterms:W3CDTF">2026-07-04T11:09:01.713Z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