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prueba territorial</w:t>
      </w:r>
    </w:p>
    <w:p>
      <w:r>
        <w:t>La comunidad de pescadores del Río Magdalena ha desarrollado prácticas ancestrales de manejo del agua.</w:t>
      </w:r>
    </w:p>
    <w:p>
      <w:r>
        <w:t>La Asamblea de Mujeres del Cauca trabaja en redes de cuidado y economía solidaria.</w:t>
      </w:r>
    </w:p>
    <w:p>
      <w:r>
        <w:t>El Ministerio de Ambiente declaró el bosque nativo como zona protegida.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