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i w:val="false"/>
          <w:iCs w:val="false"/>
          <w:color w:val="2E5090"/>
          <w:sz w:val="18"/>
          <w:szCs w:val="18"/>
        </w:rPr>
        <w:t xml:space="preserve">FINANCE MANAGEMENT SYSTEM</w:t>
      </w:r>
    </w:p>
    <w:p>
      <w:pPr>
        <w:spacing w:after="40" w:before="0" w:line="276"/>
      </w:pPr>
      <w:r>
        <w:rPr>
          <w:rFonts w:ascii="Calibri" w:cs="Calibri" w:eastAsia="Calibri" w:hAnsi="Calibri"/>
          <w:b/>
          <w:bCs/>
          <w:i w:val="false"/>
          <w:iCs w:val="false"/>
          <w:color w:val="1B365D"/>
          <w:sz w:val="32"/>
          <w:szCs w:val="32"/>
        </w:rPr>
        <w:t xml:space="preserve">Adapter / collector / research — owner decisions</w:t>
      </w:r>
    </w:p>
    <w:p>
      <w:pPr>
        <w:spacing w:after="120" w:before="0" w:line="276"/>
      </w:pPr>
      <w:r>
        <w:rPr>
          <w:rFonts w:ascii="Calibri" w:cs="Calibri" w:eastAsia="Calibri" w:hAnsi="Calibri"/>
          <w:b w:val="false"/>
          <w:bCs w:val="false"/>
          <w:i/>
          <w:iCs/>
          <w:color w:val="5B6B7B"/>
          <w:sz w:val="20"/>
          <w:szCs w:val="20"/>
        </w:rPr>
        <w:t xml:space="preserve">Locked 2 September 2026 from owner clarifications. Cursor authority for adapter work. Does not override V1.1, BR-X, dual-cost, unknown≠invented $0, or Plan-confirm-by-owner.</w:t>
      </w:r>
    </w:p>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0. How to read this</w:t>
      </w:r>
    </w:p>
    <w:p>
      <w:pPr>
        <w:spacing w:after="120" w:before="0" w:line="276"/>
      </w:pPr>
      <w:r>
        <w:rPr>
          <w:rFonts w:ascii="Calibri" w:cs="Calibri" w:eastAsia="Calibri" w:hAnsi="Calibri"/>
          <w:b w:val="false"/>
          <w:bCs w:val="false"/>
          <w:i w:val="false"/>
          <w:iCs w:val="false"/>
          <w:color w:val="222222"/>
          <w:sz w:val="22"/>
          <w:szCs w:val="22"/>
        </w:rPr>
        <w:t xml:space="preserve">An adapter is complete only when three components exist: (1) historical declarations, (2) future / plan pay dates, (3) ROC 19a-1 estimate path. Those are built and certified in that order. They fail independently and open tickets. A declaration collector run can record paid months without ROC; that run is not a complete adapter.</w:t>
      </w:r>
    </w:p>
    <w:p>
      <w:pPr>
        <w:spacing w:after="120" w:before="0" w:line="276"/>
      </w:pPr>
      <w:r>
        <w:rPr>
          <w:rFonts w:ascii="Calibri" w:cs="Calibri" w:eastAsia="Calibri" w:hAnsi="Calibri"/>
          <w:b w:val="false"/>
          <w:bCs w:val="false"/>
          <w:i w:val="false"/>
          <w:iCs w:val="false"/>
          <w:color w:val="222222"/>
          <w:sz w:val="22"/>
          <w:szCs w:val="22"/>
        </w:rPr>
        <w:t xml:space="preserve">Fail loudly always means: visible miss + owner work ticket (symbol, field, reason, URL tried). Halt and prompt when the owner can fix it now (second URL, underlying). Ticket when it must be done later (parse miss, empty div_type, last_run false).</w:t>
      </w:r>
    </w:p>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1. Conflicts — locked answers</w:t>
      </w:r>
    </w:p>
    <w:p>
      <w:pPr>
        <w:pStyle w:val="Heading2"/>
        <w:spacing w:after="80" w:before="200"/>
      </w:pPr>
      <w:r>
        <w:rPr>
          <w:rFonts w:ascii="Calibri" w:cs="Calibri" w:eastAsia="Calibri" w:hAnsi="Calibri"/>
          <w:b/>
          <w:bCs/>
          <w:i w:val="false"/>
          <w:iCs w:val="false"/>
          <w:color w:val="2E5090"/>
          <w:sz w:val="24"/>
          <w:szCs w:val="24"/>
        </w:rPr>
        <w:t xml:space="preserve">C1 — Empty retrieve / adapter URLs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Adapter initial build tries the owner distribution URL, then prompts for a second URL if history does not parse. Two tries. That is adapter design, not daily collect.</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If both URLs fail to yield distributions, the adapter is not built. Loud fail. Do not ship a half adapter.</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Manual-update adapter is PARKED. When unparked it reminds on each plan pay date that the amount/date must be confirmed.</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Daily collector does not invent paste grids. Identity may already exist; holes get tickets.</w:t>
      </w:r>
    </w:p>
    <w:p>
      <w:pPr>
        <w:pStyle w:val="Heading2"/>
        <w:spacing w:after="80" w:before="200"/>
      </w:pPr>
      <w:r>
        <w:rPr>
          <w:rFonts w:ascii="Calibri" w:cs="Calibri" w:eastAsia="Calibri" w:hAnsi="Calibri"/>
          <w:b/>
          <w:bCs/>
          <w:i w:val="false"/>
          <w:iCs w:val="false"/>
          <w:color w:val="2E5090"/>
          <w:sz w:val="24"/>
          <w:szCs w:val="24"/>
        </w:rPr>
        <w:t xml:space="preserve">C2 — Three adapter components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Build order: historical declarations → plan/future pay dates → ROC 19a-1.</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No adapter is complete without all three. Collectors may run the pieces separately.</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Declaration last_run_ok does not require ROC parsed. ROC last_run is its own record.</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ROC on add is 19a-1 estimate 0–100 from parsed notice (0 is a real estimate, not a miss). Unknown if parse fails — never invent 0. 1099 actual is a separate later process. No prior-year 1099 on a new 2026 name.</w:t>
      </w:r>
    </w:p>
    <w:p>
      <w:pPr>
        <w:pStyle w:val="Heading2"/>
        <w:spacing w:after="80" w:before="200"/>
      </w:pPr>
      <w:r>
        <w:rPr>
          <w:rFonts w:ascii="Calibri" w:cs="Calibri" w:eastAsia="Calibri" w:hAnsi="Calibri"/>
          <w:b/>
          <w:bCs/>
          <w:i w:val="false"/>
          <w:iCs w:val="false"/>
          <w:color w:val="2E5090"/>
          <w:sz w:val="24"/>
          <w:szCs w:val="24"/>
        </w:rPr>
        <w:t xml:space="preserve">C3 — Payable date vs week</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Payable date is the stored event date.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Sat–Fri week is derived after the payable date is known and used to place the row on Income Plan.</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Do not use walk policy as the declaration key or as the face source.</w:t>
      </w:r>
    </w:p>
    <w:p>
      <w:pPr>
        <w:pStyle w:val="Heading2"/>
        <w:spacing w:after="80" w:before="200"/>
      </w:pPr>
      <w:r>
        <w:rPr>
          <w:rFonts w:ascii="Calibri" w:cs="Calibri" w:eastAsia="Calibri" w:hAnsi="Calibri"/>
          <w:b/>
          <w:bCs/>
          <w:i w:val="false"/>
          <w:iCs w:val="false"/>
          <w:color w:val="2E5090"/>
          <w:sz w:val="24"/>
          <w:szCs w:val="24"/>
        </w:rPr>
        <w:t xml:space="preserve">C4 — Future pays</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Try vendor-published upcoming dates first.</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If none, derive remaining-year dates from historical pay pattern + frequency (e.g. monthly last-day-of-month). Owner may override one date.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Vendor future list is not required for declaration lookback OK.</w:t>
      </w:r>
    </w:p>
    <w:p>
      <w:pPr>
        <w:pStyle w:val="Heading2"/>
        <w:spacing w:after="80" w:before="200"/>
      </w:pPr>
      <w:r>
        <w:rPr>
          <w:rFonts w:ascii="Calibri" w:cs="Calibri" w:eastAsia="Calibri" w:hAnsi="Calibri"/>
          <w:b/>
          <w:bCs/>
          <w:i w:val="false"/>
          <w:iCs w:val="false"/>
          <w:color w:val="2E5090"/>
          <w:sz w:val="24"/>
          <w:szCs w:val="24"/>
        </w:rPr>
        <w:t xml:space="preserve">C5 — Validate the parse, not only SQLite</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After post, confirm by parsing the same adapter source again (same URL / same fetched page) and comparing to what was stored.</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That is parse validation. Re-reading SQLite alone is not enough.</w:t>
      </w:r>
    </w:p>
    <w:p>
      <w:pPr>
        <w:pStyle w:val="ListParagraph"/>
        <w:numPr>
          <w:ilvl w:val="0"/>
          <w:numId w:val="2"/>
        </w:numPr>
        <w:spacing w:after="60" w:line="260"/>
      </w:pPr>
      <w:r>
        <w:rPr>
          <w:rFonts w:ascii="Calibri" w:cs="Calibri" w:eastAsia="Calibri" w:hAnsi="Calibri"/>
          <w:b w:val="false"/>
          <w:bCs w:val="false"/>
          <w:i w:val="false"/>
          <w:iCs w:val="false"/>
          <w:color w:val="222222"/>
          <w:sz w:val="21"/>
          <w:szCs w:val="21"/>
        </w:rPr>
        <w:t xml:space="preserve">Do not treat a second random HTTP as a new source of truth if the first page is still in hand — re-parse that payload.</w:t>
      </w:r>
    </w:p>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2. Characteristics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712"/>
      </w:tblGrid>
      <w:tr>
        <w:tc>
          <w:tcPr>
            <w:tcW w:type="dxa" w:w="16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7"/>
                <w:szCs w:val="17"/>
              </w:rPr>
              <w:t xml:space="preserve">ID</w:t>
            </w:r>
          </w:p>
        </w:tc>
        <w:tc>
          <w:tcPr>
            <w:tcW w:type="dxa" w:w="22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7"/>
                <w:szCs w:val="17"/>
              </w:rPr>
              <w:t xml:space="preserve">Decision</w:t>
            </w:r>
          </w:p>
        </w:tc>
        <w:tc>
          <w:tcPr>
            <w:tcW w:type="dxa" w:w="6712"/>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7"/>
                <w:szCs w:val="17"/>
              </w:rPr>
              <w:t xml:space="preserve">Owner rule</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 Price</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 separate function</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Daily retrieve + on add. Expose last price and as-of. Fail loud; keep last good quote. Never $0. Not declaration last_run_ok.</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M2 Broker cash</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Hard rule</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Import writes ledger actuals only. Never changes declarations or Plan $/share. Collectors never write cash. Dates may align actual vs plan; amounts stay three fields (see M8).</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M3 Frequency</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 ticket</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Must retrieve or derive. Fail loud. Ticket if cadence cannot be established. Weekly=52, monthly=12, quarterly=4 planned pays/year max.</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M4 div_type</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 ticket</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Empty on add/import = fail + ticket. HAKY = DIV-1. CASH adapter is interest / published rate, not a dividend declaration adapter.</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M5 Underlying</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 prompt</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If underlying cannot be determined (NVDY→NVDA, HAKY→HACK), fail retrieve of that field and prompt the owner.</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M6 Weekdays / date move</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behavior</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Adapter derives future plan dates. Later declaration retrieval validates. If derived 30 May and notice says 1 Jun, move plan date to 1 Jun and remap the week.</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M7 ROC years</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New position: 19a-1 estimate only, 0–100 when parsed. 2025 actual N/A if not held. 2026 actual only after 2027 1099 process (TBD, separate).</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M8 Three amounts</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Income Plan row: plan $ (owner, never auto-changed), declaration $ (issuer notice), actual $ (broker import). Ticket when declaration vs plan date/amount needs owner eyes. Do not overwrite plan $.</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M9 History rows</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Retrieve all vendor paid rows. Store forever. UI may start at 12. Fewer than 12 = exception ticket (inception or short history).</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M10 Face source</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PD source = adapter name (Amplify). Never derived_walk. Adapter settings page shows how it works.</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M11 last_run false</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 ticket</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False / miss opens a work ticket. Not only a boolean on the template.</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M12 Open only</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Routine declaration retrieve runs only on open positions (open lots).</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M13 Add lot</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Lot = account, date, qty, unit prices. No history refetch. No ROC. No plan rewrite.</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M14 Plan review</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Separate process</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Depends on history existing. Not adapter certify. n-rules stay on Plan confirm.</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M15 Template facts</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Standing URL, hash, adapter name reused on every later refresh.</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M16 Ticker change</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WPAY→TOPW class: one-time event, flag, retarget all live refs to new symbol, keep a change record. History stays on the identity.</w:t>
            </w:r>
          </w:p>
        </w:tc>
      </w:tr>
      <w:tr>
        <w:tc>
          <w:tcPr>
            <w:tcW w:type="dxa" w:w="16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M17 Calendar URL</w:t>
            </w:r>
          </w:p>
        </w:tc>
        <w:tc>
          <w:tcPr>
            <w:tcW w:type="dxa" w:w="2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Optional</w:t>
            </w:r>
          </w:p>
        </w:tc>
        <w:tc>
          <w:tcPr>
            <w:tcW w:type="dxa" w:w="67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Try retrieve future dates; else derive (C4).</w:t>
            </w:r>
          </w:p>
        </w:tc>
      </w:tr>
      <w:tr>
        <w:tc>
          <w:tcPr>
            <w:tcW w:type="dxa" w:w="16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M18 Scale</w:t>
            </w:r>
          </w:p>
        </w:tc>
        <w:tc>
          <w:tcPr>
            <w:tcW w:type="dxa" w:w="2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w:t>
            </w:r>
          </w:p>
        </w:tc>
        <w:tc>
          <w:tcPr>
            <w:tcW w:type="dxa" w:w="67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Part of parse vs stored compare (C5).</w:t>
            </w:r>
          </w:p>
        </w:tc>
      </w:tr>
    </w:tbl>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3. Process</w:t>
      </w:r>
    </w:p>
    <w:p>
      <w:pPr>
        <w:pStyle w:val="Heading2"/>
        <w:spacing w:after="80" w:before="200"/>
      </w:pPr>
      <w:r>
        <w:rPr>
          <w:rFonts w:ascii="Calibri" w:cs="Calibri" w:eastAsia="Calibri" w:hAnsi="Calibri"/>
          <w:b/>
          <w:bCs/>
          <w:i w:val="false"/>
          <w:iCs w:val="false"/>
          <w:color w:val="2E5090"/>
          <w:sz w:val="24"/>
          <w:szCs w:val="24"/>
        </w:rPr>
        <w:t xml:space="preserve">P1 Manual adapter</w:t>
      </w:r>
    </w:p>
    <w:p>
      <w:pPr>
        <w:spacing w:after="120" w:before="0" w:line="276"/>
      </w:pPr>
      <w:r>
        <w:rPr>
          <w:rFonts w:ascii="Calibri" w:cs="Calibri" w:eastAsia="Calibri" w:hAnsi="Calibri"/>
          <w:b w:val="false"/>
          <w:bCs w:val="false"/>
          <w:i w:val="false"/>
          <w:iCs w:val="false"/>
          <w:color w:val="222222"/>
          <w:sz w:val="22"/>
          <w:szCs w:val="22"/>
        </w:rPr>
        <w:t xml:space="preserve">Parked. Distinct from vendor adapters. When used: derive dates from history pattern if vendor future list is empty; remind on plan date to confirm.</w:t>
      </w:r>
    </w:p>
    <w:p>
      <w:pPr>
        <w:pStyle w:val="Heading2"/>
        <w:spacing w:after="80" w:before="200"/>
      </w:pPr>
      <w:r>
        <w:rPr>
          <w:rFonts w:ascii="Calibri" w:cs="Calibri" w:eastAsia="Calibri" w:hAnsi="Calibri"/>
          <w:b/>
          <w:bCs/>
          <w:i w:val="false"/>
          <w:iCs w:val="false"/>
          <w:color w:val="2E5090"/>
          <w:sz w:val="24"/>
          <w:szCs w:val="24"/>
        </w:rPr>
        <w:t xml:space="preserve">P2 Who may post (plain language)</w:t>
      </w:r>
    </w:p>
    <w:p>
      <w:pPr>
        <w:spacing w:after="120" w:before="0" w:line="276"/>
      </w:pPr>
      <w:r>
        <w:rPr>
          <w:rFonts w:ascii="Calibri" w:cs="Calibri" w:eastAsia="Calibri" w:hAnsi="Calibri"/>
          <w:b w:val="false"/>
          <w:bCs w:val="false"/>
          <w:i w:val="false"/>
          <w:iCs w:val="false"/>
          <w:color w:val="222222"/>
          <w:sz w:val="22"/>
          <w:szCs w:val="22"/>
        </w:rPr>
        <w:t xml:space="preserve">A parsed row on screen is not yet in the books. Only named commands post: CollectorRetrieve, IssuerDeclarationRecord, PositionResearchRefresh, LotOpen, Plan confirm. The UI, Grok, and raw SQL must not insert declaration/plan/lot rows. That is all P2 means.</w:t>
      </w:r>
    </w:p>
    <w:p>
      <w:pPr>
        <w:pStyle w:val="Heading2"/>
        <w:spacing w:after="80" w:before="200"/>
      </w:pPr>
      <w:r>
        <w:rPr>
          <w:rFonts w:ascii="Calibri" w:cs="Calibri" w:eastAsia="Calibri" w:hAnsi="Calibri"/>
          <w:b/>
          <w:bCs/>
          <w:i w:val="false"/>
          <w:iCs w:val="false"/>
          <w:color w:val="2E5090"/>
          <w:sz w:val="24"/>
          <w:szCs w:val="24"/>
        </w:rPr>
        <w:t xml:space="preserve">P3</w:t>
      </w:r>
    </w:p>
    <w:p>
      <w:pPr>
        <w:spacing w:after="120" w:before="0" w:line="276"/>
      </w:pPr>
      <w:r>
        <w:rPr>
          <w:rFonts w:ascii="Calibri" w:cs="Calibri" w:eastAsia="Calibri" w:hAnsi="Calibri"/>
          <w:b w:val="false"/>
          <w:bCs w:val="false"/>
          <w:i w:val="false"/>
          <w:iCs w:val="false"/>
          <w:color w:val="222222"/>
          <w:sz w:val="22"/>
          <w:szCs w:val="22"/>
        </w:rPr>
        <w:t xml:space="preserve">Same as C5 — re-parse the adapter source after write.</w:t>
      </w:r>
    </w:p>
    <w:p>
      <w:pPr>
        <w:pStyle w:val="Heading2"/>
        <w:spacing w:after="80" w:before="200"/>
      </w:pPr>
      <w:r>
        <w:rPr>
          <w:rFonts w:ascii="Calibri" w:cs="Calibri" w:eastAsia="Calibri" w:hAnsi="Calibri"/>
          <w:b/>
          <w:bCs/>
          <w:i w:val="false"/>
          <w:iCs w:val="false"/>
          <w:color w:val="2E5090"/>
          <w:sz w:val="24"/>
          <w:szCs w:val="24"/>
        </w:rPr>
        <w:t xml:space="preserve">P4 Re-run</w:t>
      </w:r>
    </w:p>
    <w:p>
      <w:pPr>
        <w:spacing w:after="120" w:before="0" w:line="276"/>
      </w:pPr>
      <w:r>
        <w:rPr>
          <w:rFonts w:ascii="Calibri" w:cs="Calibri" w:eastAsia="Calibri" w:hAnsi="Calibri"/>
          <w:b w:val="false"/>
          <w:bCs w:val="false"/>
          <w:i w:val="false"/>
          <w:iCs w:val="false"/>
          <w:color w:val="222222"/>
          <w:sz w:val="22"/>
          <w:szCs w:val="22"/>
        </w:rPr>
        <w:t xml:space="preserve">Fills holes only. Never rewrite identity, confirmed frequency, owner Plan $/share, or lots.</w:t>
      </w:r>
    </w:p>
    <w:p>
      <w:pPr>
        <w:pStyle w:val="Heading2"/>
        <w:spacing w:after="80" w:before="200"/>
      </w:pPr>
      <w:r>
        <w:rPr>
          <w:rFonts w:ascii="Calibri" w:cs="Calibri" w:eastAsia="Calibri" w:hAnsi="Calibri"/>
          <w:b/>
          <w:bCs/>
          <w:i w:val="false"/>
          <w:iCs w:val="false"/>
          <w:color w:val="2E5090"/>
          <w:sz w:val="24"/>
          <w:szCs w:val="24"/>
        </w:rPr>
        <w:t xml:space="preserve">P5 Whole book</w:t>
      </w:r>
    </w:p>
    <w:p>
      <w:pPr>
        <w:spacing w:after="120" w:before="0" w:line="276"/>
      </w:pPr>
      <w:r>
        <w:rPr>
          <w:rFonts w:ascii="Calibri" w:cs="Calibri" w:eastAsia="Calibri" w:hAnsi="Calibri"/>
          <w:b w:val="false"/>
          <w:bCs w:val="false"/>
          <w:i w:val="false"/>
          <w:iCs w:val="false"/>
          <w:color w:val="222222"/>
          <w:sz w:val="22"/>
          <w:szCs w:val="22"/>
        </w:rPr>
        <w:t xml:space="preserve">Every enabled open income name runs. Derived plan date count must match frequency (4 / 12 / 52). Excess or missing planned dates = ticket.</w:t>
      </w:r>
    </w:p>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4. Work tickets (new standing object)</w:t>
      </w:r>
    </w:p>
    <w:p>
      <w:pPr>
        <w:spacing w:after="120" w:before="0" w:line="276"/>
      </w:pPr>
      <w:r>
        <w:rPr>
          <w:rFonts w:ascii="Calibri" w:cs="Calibri" w:eastAsia="Calibri" w:hAnsi="Calibri"/>
          <w:b w:val="false"/>
          <w:bCs w:val="false"/>
          <w:i w:val="false"/>
          <w:iCs w:val="false"/>
          <w:color w:val="222222"/>
          <w:sz w:val="22"/>
          <w:szCs w:val="22"/>
        </w:rPr>
        <w:t xml:space="preserve">Minimal v1: ticket_id, symbol, security_id, field (roc_estimate, frequency, div_type, underlying, declaration_miss, parse_miss, last_run), reason, urls_tried, opened_on, status open|done. Created automatically on loud fail. Owner list on Collectors or a small queue. Do not block Save identity.</w:t>
      </w:r>
    </w:p>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5. Button map (do not confuse)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912"/>
      </w:tblGrid>
      <w:tr>
        <w:tc>
          <w:tcPr>
            <w:tcW w:type="dxa" w:w="24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7"/>
                <w:szCs w:val="17"/>
              </w:rPr>
              <w:t xml:space="preserve">Place</w:t>
            </w:r>
          </w:p>
        </w:tc>
        <w:tc>
          <w:tcPr>
            <w:tcW w:type="dxa" w:w="4200"/>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7"/>
                <w:szCs w:val="17"/>
              </w:rPr>
              <w:t xml:space="preserve">Does</w:t>
            </w:r>
          </w:p>
        </w:tc>
        <w:tc>
          <w:tcPr>
            <w:tcW w:type="dxa" w:w="3912"/>
            <w:shd w:fill="1B365D" w:val="clear"/>
            <w:tcMar>
              <w:top w:type="dxa" w:w="50"/>
              <w:left w:type="dxa" w:w="70"/>
              <w:bottom w:type="dxa" w:w="50"/>
              <w:right w:type="dxa" w:w="70"/>
            </w:tcMar>
            <w:vAlign w:val="top"/>
          </w:tcPr>
          <w:p>
            <w:r>
              <w:rPr>
                <w:rFonts w:ascii="Calibri" w:cs="Calibri" w:eastAsia="Calibri" w:hAnsi="Calibri"/>
                <w:b/>
                <w:bCs/>
                <w:i w:val="false"/>
                <w:iCs w:val="false"/>
                <w:color w:val="FFFFFF"/>
                <w:sz w:val="17"/>
                <w:szCs w:val="17"/>
              </w:rPr>
              <w:t xml:space="preserve">Does not</w:t>
            </w:r>
          </w:p>
        </w:tc>
      </w:tr>
      <w:tr>
        <w:tc>
          <w:tcPr>
            <w:tcW w:type="dxa" w:w="2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Position Research</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Two URL tries for history; seed template; then history → dates → ROC estimate; prompt underlying; tickets for holes</w:t>
            </w:r>
          </w:p>
        </w:tc>
        <w:tc>
          <w:tcPr>
            <w:tcW w:type="dxa" w:w="39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Add lots; write broker cash; auto-apply tier; invent $0</w:t>
            </w:r>
          </w:p>
        </w:tc>
      </w:tr>
      <w:tr>
        <w:tc>
          <w:tcPr>
            <w:tcW w:type="dxa" w:w="24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Complete research</w:t>
            </w:r>
          </w:p>
        </w:tc>
        <w:tc>
          <w:tcPr>
            <w:tcW w:type="dxa" w:w="4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Same three components on an existing name; spinner required; Set-risk dropdown after notes</w:t>
            </w:r>
          </w:p>
        </w:tc>
        <w:tc>
          <w:tcPr>
            <w:tcW w:type="dxa" w:w="39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Rebuild lots; change owner Plan $</w:t>
            </w:r>
          </w:p>
        </w:tc>
      </w:tr>
      <w:tr>
        <w:tc>
          <w:tcPr>
            <w:tcW w:type="dxa" w:w="2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Collectors Run misses only</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Declaration increment for open names not fresh today</w:t>
            </w:r>
          </w:p>
        </w:tc>
        <w:tc>
          <w:tcPr>
            <w:tcW w:type="dxa" w:w="39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ROC, risk, lots</w:t>
            </w:r>
          </w:p>
        </w:tc>
      </w:tr>
      <w:tr>
        <w:tc>
          <w:tcPr>
            <w:tcW w:type="dxa" w:w="24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Force refresh one symbol</w:t>
            </w:r>
          </w:p>
        </w:tc>
        <w:tc>
          <w:tcPr>
            <w:tcW w:type="dxa" w:w="4200"/>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Hit issuer again for declarations</w:t>
            </w:r>
          </w:p>
        </w:tc>
        <w:tc>
          <w:tcPr>
            <w:tcW w:type="dxa" w:w="3912"/>
            <w:shd w:fill="F4F7FB"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Book rebuild</w:t>
            </w:r>
          </w:p>
        </w:tc>
      </w:tr>
      <w:tr>
        <w:tc>
          <w:tcPr>
            <w:tcW w:type="dxa" w:w="24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Fill research gaps</w:t>
            </w:r>
          </w:p>
        </w:tc>
        <w:tc>
          <w:tcPr>
            <w:tcW w:type="dxa" w:w="4200"/>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PositionResearchRefresh on names missing provider/frequency/div_type/ROC estimate</w:t>
            </w:r>
          </w:p>
        </w:tc>
        <w:tc>
          <w:tcPr>
            <w:tcW w:type="dxa" w:w="3912"/>
            <w:shd w:fill="FFFFFF" w:val="clear"/>
            <w:tcMar>
              <w:top w:type="dxa" w:w="50"/>
              <w:left w:type="dxa" w:w="70"/>
              <w:bottom w:type="dxa" w:w="50"/>
              <w:right w:type="dxa" w:w="70"/>
            </w:tcMar>
            <w:vAlign w:val="top"/>
          </w:tcPr>
          <w:p>
            <w:r>
              <w:rPr>
                <w:rFonts w:ascii="Calibri" w:cs="Calibri" w:eastAsia="Calibri" w:hAnsi="Calibri"/>
                <w:b w:val="false"/>
                <w:bCs w:val="false"/>
                <w:i w:val="false"/>
                <w:iCs w:val="false"/>
                <w:color w:val="222222"/>
                <w:sz w:val="17"/>
                <w:szCs w:val="17"/>
              </w:rPr>
              <w:t xml:space="preserve">Force all declarations</w:t>
            </w:r>
          </w:p>
        </w:tc>
      </w:tr>
    </w:tbl>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6. Still first on HAKY</w:t>
      </w:r>
    </w:p>
    <w:p>
      <w:pPr>
        <w:spacing w:after="120" w:before="0" w:line="276"/>
      </w:pPr>
      <w:r>
        <w:rPr>
          <w:rFonts w:ascii="Calibri" w:cs="Calibri" w:eastAsia="Calibri" w:hAnsi="Calibri"/>
          <w:b w:val="false"/>
          <w:bCs w:val="false"/>
          <w:i w:val="false"/>
          <w:iCs w:val="false"/>
          <w:color w:val="222222"/>
          <w:sz w:val="22"/>
          <w:szCs w:val="22"/>
        </w:rPr>
        <w:t xml:space="preserve">Four 19a-1 PDFs already returned HTTP 200 and did not parse. Fixture test against one of those PDFs must fail then pass before any more adapter-complete UI. Until that percent persists, ROC stays unknown and a parse_miss ticket stays open. 2025 actual stays N/A.</w:t>
      </w:r>
    </w:p>
    <w:p>
      <w:pPr>
        <w:pStyle w:val="Heading1"/>
        <w:pBdr>
          <w:bottom w:val="single" w:color="1B365D" w:sz="12" w:space="4"/>
        </w:pBdr>
        <w:spacing w:after="100" w:before="260"/>
      </w:pPr>
      <w:r>
        <w:rPr>
          <w:rFonts w:ascii="Calibri" w:cs="Calibri" w:eastAsia="Calibri" w:hAnsi="Calibri"/>
          <w:b/>
          <w:bCs/>
          <w:i w:val="false"/>
          <w:iCs w:val="false"/>
          <w:color w:val="1B365D"/>
          <w:sz w:val="28"/>
          <w:szCs w:val="28"/>
        </w:rPr>
        <w:t xml:space="preserve">7. Parked</w:t>
      </w:r>
    </w:p>
    <w:p>
      <w:pPr>
        <w:spacing w:after="120" w:before="0" w:line="276"/>
      </w:pPr>
      <w:r>
        <w:rPr>
          <w:rFonts w:ascii="Calibri" w:cs="Calibri" w:eastAsia="Calibri" w:hAnsi="Calibri"/>
          <w:b w:val="false"/>
          <w:bCs w:val="false"/>
          <w:i w:val="false"/>
          <w:iCs w:val="false"/>
          <w:color w:val="222222"/>
          <w:sz w:val="22"/>
          <w:szCs w:val="22"/>
        </w:rPr>
        <w:t xml:space="preserve">Manual adapter implementation, 1099 actual process, TR-C-2 extra date columns as keys, bull/bear scoring, Grok auto-apply tier, connector posting.</w:t>
      </w:r>
    </w:p>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B6B7B"/>
        <w:sz w:val="16"/>
        <w:szCs w:val="16"/>
      </w:rPr>
      <w:t xml:space="preserve">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i w:val="false"/>
        <w:iCs w:val="false"/>
        <w:color w:val="1B365D"/>
        <w:sz w:val="16"/>
        <w:szCs w:val="16"/>
      </w:rPr>
      <w:t xml:space="preserve">FINOS  </w:t>
    </w:r>
    <w:r>
      <w:rPr>
        <w:rFonts w:ascii="Calibri" w:cs="Calibri" w:eastAsia="Calibri" w:hAnsi="Calibri"/>
        <w:b w:val="false"/>
        <w:bCs w:val="false"/>
        <w:i w:val="false"/>
        <w:iCs w:val="false"/>
        <w:color w:val="5B6B7B"/>
        <w:sz w:val="16"/>
        <w:szCs w:val="16"/>
      </w:rPr>
      <w:t xml:space="preserve">Adapter decisions lock — 2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Calibri" w:cs="Calibri" w:eastAsia="Calibri" w:hAnsi="Calibri"/>
      <w:b/>
      <w:bCs/>
      <w:color w:val="1B365D"/>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2026-09-02T12:54:34.955Z</dcterms:created>
  <dcterms:modified xsi:type="dcterms:W3CDTF">2026-09-02T12:54:34.956Z</dcterms:modified>
</cp:coreProperties>
</file>

<file path=docProps/custom.xml><?xml version="1.0" encoding="utf-8"?>
<Properties xmlns="http://schemas.openxmlformats.org/officeDocument/2006/custom-properties" xmlns:vt="http://schemas.openxmlformats.org/officeDocument/2006/docPropsVTypes"/>
</file>