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sz w:val="36"/>
          <w:szCs w:val="36"/>
        </w:rPr>
        <w:t xml:space="preserve">FinOS re-audit by page</w:t>
      </w:r>
    </w:p>
    <w:p>
      <w:pPr>
        <w:spacing w:after="100" w:before="0"/>
      </w:pPr>
      <w:r>
        <w:rPr>
          <w:rFonts w:ascii="Arial" w:cs="Arial" w:eastAsia="Arial" w:hAnsi="Arial"/>
          <w:i/>
          <w:iCs/>
          <w:color w:val="555555"/>
          <w:sz w:val="22"/>
          <w:szCs w:val="22"/>
        </w:rPr>
        <w:t xml:space="preserve">Pack dated 6 October 2026 · schema 66 · compared with the 5 Oct audit</w:t>
      </w:r>
    </w:p>
    <w:p>
      <w:pPr>
        <w:spacing w:after="100" w:before="0"/>
      </w:pPr>
      <w:r>
        <w:rPr>
          <w:rFonts w:ascii="Arial" w:cs="Arial" w:eastAsia="Arial" w:hAnsi="Arial"/>
          <w:sz w:val="22"/>
          <w:szCs w:val="22"/>
        </w:rPr>
        <w:t xml:space="preserve">Source tree unpacked from finos-external-audit-2026-10-06.zip. No live database. A later owner lock wins. Open means an owner decision is still unset, not that the code invented a number.</w:t>
      </w:r>
    </w:p>
    <w:p>
      <w:pPr>
        <w:spacing w:after="100" w:before="0"/>
      </w:pPr>
      <w:r>
        <w:rPr>
          <w:rFonts w:ascii="Arial" w:cs="Arial" w:eastAsia="Arial" w:hAnsi="Arial"/>
          <w:sz w:val="22"/>
          <w:szCs w:val="22"/>
        </w:rPr>
        <w:t xml:space="preserve">What moved since yesterday: the Calculator old-end walk is gone. lastPaidCents / lastPaidDeclarations no longer exist. dividendScore no longer reads cells.length-1. The sheet row passes newestStoredPay(recentPays). Default history period is still Trailing year. Schema moved 65 to 66 for option cover lots and premium posts. App.tsx is 12,244 lines. queries.rs is 14,923.</w:t>
      </w:r>
    </w:p>
    <w:p>
      <w:pPr>
        <w:pStyle w:val="Heading1"/>
        <w:spacing w:after="100" w:before="280"/>
      </w:pPr>
      <w:r>
        <w:rPr>
          <w:rFonts w:ascii="Arial" w:cs="Arial" w:eastAsia="Arial" w:hAnsi="Arial"/>
          <w:b/>
          <w:bCs/>
          <w:sz w:val="32"/>
          <w:szCs w:val="32"/>
        </w:rPr>
        <w:t xml:space="preserve">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Status</w:t>
            </w:r>
          </w:p>
        </w:tc>
        <w:tc>
          <w:tcPr>
            <w:tcW w:type="dxa" w:w="250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Component</w:t>
            </w:r>
          </w:p>
        </w:tc>
        <w:tc>
          <w:tcPr>
            <w:tcW w:type="dxa" w:w="536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Gap or recommendation</w:t>
            </w:r>
          </w:p>
        </w:tc>
      </w:tr>
      <w:tr>
        <w:tc>
          <w:tcPr>
            <w:tcW w:type="dxa" w:w="1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7A4E00"/>
                <w:sz w:val="18"/>
                <w:szCs w:val="18"/>
              </w:rPr>
              <w:t xml:space="preserve">Partial</w:t>
            </w:r>
          </w:p>
        </w:tc>
        <w:tc>
          <w:tcPr>
            <w:tcW w:type="dxa" w:w="2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222222"/>
                <w:sz w:val="18"/>
                <w:szCs w:val="18"/>
              </w:rPr>
              <w:t xml:space="preserve">Dividend Plan</w:t>
            </w:r>
          </w:p>
        </w:tc>
        <w:tc>
          <w:tcPr>
            <w:tcW w:type="dxa" w:w="536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val="false"/>
                <w:bCs w:val="false"/>
                <w:color w:val="222222"/>
                <w:sz w:val="18"/>
                <w:szCs w:val="18"/>
              </w:rPr>
              <w:t xml:space="preserve">HomeDividendPlan shows annual, market value, monthly income, monthly medical, weekly, and effective annual return. It does not show the locked plan vs declaration vs broker-actual split. Medical is blank except Health. Recommendation: keep this as the household rollup, and label weekly as Plan so it is not read as cash received.</w:t>
            </w:r>
          </w:p>
        </w:tc>
      </w:tr>
      <w:tr>
        <w:tc>
          <w:tcPr>
            <w:tcW w:type="dxa" w:w="1500"/>
            <w:tcBorders>
              <w:top w:val="single" w:color="CCCCCC" w:sz="4"/>
              <w:left w:val="single" w:color="CCCCCC" w:sz="4"/>
              <w:bottom w:val="single" w:color="CCCCCC" w:sz="4"/>
              <w:right w:val="single" w:color="CCCCCC" w:sz="4"/>
            </w:tcBorders>
            <w:shd w:fill="E5F2E5" w:val="clear"/>
            <w:tcMar>
              <w:top w:type="dxa" w:w="50"/>
              <w:left w:type="dxa" w:w="70"/>
              <w:bottom w:type="dxa" w:w="50"/>
              <w:right w:type="dxa" w:w="70"/>
            </w:tcMar>
          </w:tcPr>
          <w:p>
            <w:r>
              <w:rPr>
                <w:rFonts w:ascii="Arial" w:cs="Arial" w:eastAsia="Arial" w:hAnsi="Arial"/>
                <w:b/>
                <w:bCs/>
                <w:color w:val="1E4D1E"/>
                <w:sz w:val="18"/>
                <w:szCs w:val="18"/>
              </w:rPr>
              <w:t xml:space="preserve">OK</w:t>
            </w:r>
          </w:p>
        </w:tc>
        <w:tc>
          <w:tcPr>
            <w:tcW w:type="dxa" w:w="2500"/>
            <w:tcBorders>
              <w:top w:val="single" w:color="CCCCCC" w:sz="4"/>
              <w:left w:val="single" w:color="CCCCCC" w:sz="4"/>
              <w:bottom w:val="single" w:color="CCCCCC" w:sz="4"/>
              <w:right w:val="single" w:color="CCCCCC" w:sz="4"/>
            </w:tcBorders>
            <w:shd w:fill="E5F2E5" w:val="clear"/>
            <w:tcMar>
              <w:top w:type="dxa" w:w="50"/>
              <w:left w:type="dxa" w:w="70"/>
              <w:bottom w:type="dxa" w:w="50"/>
              <w:right w:type="dxa" w:w="70"/>
            </w:tcMar>
          </w:tcPr>
          <w:p>
            <w:r>
              <w:rPr>
                <w:rFonts w:ascii="Arial" w:cs="Arial" w:eastAsia="Arial" w:hAnsi="Arial"/>
                <w:b/>
                <w:bCs/>
                <w:color w:val="222222"/>
                <w:sz w:val="18"/>
                <w:szCs w:val="18"/>
              </w:rPr>
              <w:t xml:space="preserve">Account charts</w:t>
            </w:r>
          </w:p>
        </w:tc>
        <w:tc>
          <w:tcPr>
            <w:tcW w:type="dxa" w:w="5360"/>
            <w:tcBorders>
              <w:top w:val="single" w:color="CCCCCC" w:sz="4"/>
              <w:left w:val="single" w:color="CCCCCC" w:sz="4"/>
              <w:bottom w:val="single" w:color="CCCCCC" w:sz="4"/>
              <w:right w:val="single" w:color="CCCCCC" w:sz="4"/>
            </w:tcBorders>
            <w:shd w:fill="E5F2E5" w:val="clear"/>
            <w:tcMar>
              <w:top w:type="dxa" w:w="50"/>
              <w:left w:type="dxa" w:w="70"/>
              <w:bottom w:type="dxa" w:w="50"/>
              <w:right w:type="dxa" w:w="70"/>
            </w:tcMar>
          </w:tcPr>
          <w:p>
            <w:r>
              <w:rPr>
                <w:rFonts w:ascii="Arial" w:cs="Arial" w:eastAsia="Arial" w:hAnsi="Arial"/>
                <w:b w:val="false"/>
                <w:bCs w:val="false"/>
                <w:color w:val="222222"/>
                <w:sz w:val="18"/>
                <w:szCs w:val="18"/>
              </w:rPr>
              <w:t xml:space="preserve">HomeAccountCharts has risk profile, symbols by risk, and account values. Live-by-risk on Trends rather than a Home 100% stack matches the 11 Sep lock.</w:t>
            </w:r>
          </w:p>
        </w:tc>
      </w:tr>
      <w:tr>
        <w:tc>
          <w:tcPr>
            <w:tcW w:type="dxa" w:w="1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7A4E00"/>
                <w:sz w:val="18"/>
                <w:szCs w:val="18"/>
              </w:rPr>
              <w:t xml:space="preserve">Partial</w:t>
            </w:r>
          </w:p>
        </w:tc>
        <w:tc>
          <w:tcPr>
            <w:tcW w:type="dxa" w:w="2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222222"/>
                <w:sz w:val="18"/>
                <w:szCs w:val="18"/>
              </w:rPr>
              <w:t xml:space="preserve">Risk chips</w:t>
            </w:r>
          </w:p>
        </w:tc>
        <w:tc>
          <w:tcPr>
            <w:tcW w:type="dxa" w:w="536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val="false"/>
                <w:bCs w:val="false"/>
                <w:color w:val="222222"/>
                <w:sz w:val="18"/>
                <w:szCs w:val="18"/>
              </w:rPr>
              <w:t xml:space="preserve">DEFAULT_ACCOUNTS_ON uses FI Roth and 9. CONTROL_ACCOUNTS uses Roth and Account 9. A chip that does not go through map_control_account will miss the book.</w:t>
            </w:r>
          </w:p>
        </w:tc>
      </w:tr>
    </w:tbl>
    <w:p>
      <w:pPr>
        <w:pStyle w:val="Heading1"/>
        <w:spacing w:after="100" w:before="280"/>
      </w:pPr>
      <w:r>
        <w:rPr>
          <w:rFonts w:ascii="Arial" w:cs="Arial" w:eastAsia="Arial" w:hAnsi="Arial"/>
          <w:b/>
          <w:bCs/>
          <w:sz w:val="32"/>
          <w:szCs w:val="32"/>
        </w:rPr>
        <w:t xml:space="preserve">Income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Status</w:t>
            </w:r>
          </w:p>
        </w:tc>
        <w:tc>
          <w:tcPr>
            <w:tcW w:type="dxa" w:w="250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Component</w:t>
            </w:r>
          </w:p>
        </w:tc>
        <w:tc>
          <w:tcPr>
            <w:tcW w:type="dxa" w:w="536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Gap or recommendation</w:t>
            </w:r>
          </w:p>
        </w:tc>
      </w:tr>
      <w:tr>
        <w:tc>
          <w:tcPr>
            <w:tcW w:type="dxa" w:w="1500"/>
            <w:tcBorders>
              <w:top w:val="single" w:color="CCCCCC" w:sz="4"/>
              <w:left w:val="single" w:color="CCCCCC" w:sz="4"/>
              <w:bottom w:val="single" w:color="CCCCCC" w:sz="4"/>
              <w:right w:val="single" w:color="CCCCCC" w:sz="4"/>
            </w:tcBorders>
            <w:shd w:fill="E5F2E5" w:val="clear"/>
            <w:tcMar>
              <w:top w:type="dxa" w:w="50"/>
              <w:left w:type="dxa" w:w="70"/>
              <w:bottom w:type="dxa" w:w="50"/>
              <w:right w:type="dxa" w:w="70"/>
            </w:tcMar>
          </w:tcPr>
          <w:p>
            <w:r>
              <w:rPr>
                <w:rFonts w:ascii="Arial" w:cs="Arial" w:eastAsia="Arial" w:hAnsi="Arial"/>
                <w:b/>
                <w:bCs/>
                <w:color w:val="1E4D1E"/>
                <w:sz w:val="18"/>
                <w:szCs w:val="18"/>
              </w:rPr>
              <w:t xml:space="preserve">OK</w:t>
            </w:r>
          </w:p>
        </w:tc>
        <w:tc>
          <w:tcPr>
            <w:tcW w:type="dxa" w:w="2500"/>
            <w:tcBorders>
              <w:top w:val="single" w:color="CCCCCC" w:sz="4"/>
              <w:left w:val="single" w:color="CCCCCC" w:sz="4"/>
              <w:bottom w:val="single" w:color="CCCCCC" w:sz="4"/>
              <w:right w:val="single" w:color="CCCCCC" w:sz="4"/>
            </w:tcBorders>
            <w:shd w:fill="E5F2E5" w:val="clear"/>
            <w:tcMar>
              <w:top w:type="dxa" w:w="50"/>
              <w:left w:type="dxa" w:w="70"/>
              <w:bottom w:type="dxa" w:w="50"/>
              <w:right w:type="dxa" w:w="70"/>
            </w:tcMar>
          </w:tcPr>
          <w:p>
            <w:r>
              <w:rPr>
                <w:rFonts w:ascii="Arial" w:cs="Arial" w:eastAsia="Arial" w:hAnsi="Arial"/>
                <w:b/>
                <w:bCs/>
                <w:color w:val="222222"/>
                <w:sz w:val="18"/>
                <w:szCs w:val="18"/>
              </w:rPr>
              <w:t xml:space="preserve">Week frame</w:t>
            </w:r>
          </w:p>
        </w:tc>
        <w:tc>
          <w:tcPr>
            <w:tcW w:type="dxa" w:w="5360"/>
            <w:tcBorders>
              <w:top w:val="single" w:color="CCCCCC" w:sz="4"/>
              <w:left w:val="single" w:color="CCCCCC" w:sz="4"/>
              <w:bottom w:val="single" w:color="CCCCCC" w:sz="4"/>
              <w:right w:val="single" w:color="CCCCCC" w:sz="4"/>
            </w:tcBorders>
            <w:shd w:fill="E5F2E5" w:val="clear"/>
            <w:tcMar>
              <w:top w:type="dxa" w:w="50"/>
              <w:left w:type="dxa" w:w="70"/>
              <w:bottom w:type="dxa" w:w="50"/>
              <w:right w:type="dxa" w:w="70"/>
            </w:tcMar>
          </w:tcPr>
          <w:p>
            <w:r>
              <w:rPr>
                <w:rFonts w:ascii="Arial" w:cs="Arial" w:eastAsia="Arial" w:hAnsi="Arial"/>
                <w:b w:val="false"/>
                <w:bCs w:val="false"/>
                <w:color w:val="222222"/>
                <w:sz w:val="18"/>
                <w:szCs w:val="18"/>
              </w:rPr>
              <w:t xml:space="preserve">Page subtitle is Sat–Fri, labeled by Friday ending. Pattern A / grid and week panel both mount.</w:t>
            </w:r>
          </w:p>
        </w:tc>
      </w:tr>
      <w:tr>
        <w:tc>
          <w:tcPr>
            <w:tcW w:type="dxa" w:w="1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7A4E00"/>
                <w:sz w:val="18"/>
                <w:szCs w:val="18"/>
              </w:rPr>
              <w:t xml:space="preserve">Partial</w:t>
            </w:r>
          </w:p>
        </w:tc>
        <w:tc>
          <w:tcPr>
            <w:tcW w:type="dxa" w:w="2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222222"/>
                <w:sz w:val="18"/>
                <w:szCs w:val="18"/>
              </w:rPr>
              <w:t xml:space="preserve">Plan vs Decl vs Reported</w:t>
            </w:r>
          </w:p>
        </w:tc>
        <w:tc>
          <w:tcPr>
            <w:tcW w:type="dxa" w:w="536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val="false"/>
                <w:bCs w:val="false"/>
                <w:color w:val="222222"/>
                <w:sz w:val="18"/>
                <w:szCs w:val="18"/>
              </w:rPr>
              <w:t xml:space="preserve">Position table is Plan $/sh, Decl $/sh, Plan $, Decl $, variance. Account lines have actualMinor. There is no Reported column of broker cash. The 17 Sep lock says Planned = Decl × shares and Reported = brokerage actuals only, blank not $0. Recommendation: add Reported beside Decl $, and do not paint an open week as $0.</w:t>
            </w:r>
          </w:p>
        </w:tc>
      </w:tr>
      <w:tr>
        <w:tc>
          <w:tcPr>
            <w:tcW w:type="dxa" w:w="1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7A4E00"/>
                <w:sz w:val="18"/>
                <w:szCs w:val="18"/>
              </w:rPr>
              <w:t xml:space="preserve">Partial</w:t>
            </w:r>
          </w:p>
        </w:tc>
        <w:tc>
          <w:tcPr>
            <w:tcW w:type="dxa" w:w="2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222222"/>
                <w:sz w:val="18"/>
                <w:szCs w:val="18"/>
              </w:rPr>
              <w:t xml:space="preserve">Declaration color</w:t>
            </w:r>
          </w:p>
        </w:tc>
        <w:tc>
          <w:tcPr>
            <w:tcW w:type="dxa" w:w="536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val="false"/>
                <w:bCs w:val="false"/>
                <w:color w:val="222222"/>
                <w:sz w:val="18"/>
                <w:szCs w:val="18"/>
              </w:rPr>
              <w:t xml:space="preserve">Green means declaration within 5 trading days. That is a freshness cue, not the three-event contract. Older declarations stay uncolored rather than a stated stale state.</w:t>
            </w:r>
          </w:p>
        </w:tc>
      </w:tr>
      <w:tr>
        <w:tc>
          <w:tcPr>
            <w:tcW w:type="dxa" w:w="1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7A4E00"/>
                <w:sz w:val="18"/>
                <w:szCs w:val="18"/>
              </w:rPr>
              <w:t xml:space="preserve">Partial</w:t>
            </w:r>
          </w:p>
        </w:tc>
        <w:tc>
          <w:tcPr>
            <w:tcW w:type="dxa" w:w="2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222222"/>
                <w:sz w:val="18"/>
                <w:szCs w:val="18"/>
              </w:rPr>
              <w:t xml:space="preserve">Horizon</w:t>
            </w:r>
          </w:p>
        </w:tc>
        <w:tc>
          <w:tcPr>
            <w:tcW w:type="dxa" w:w="536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val="false"/>
                <w:bCs w:val="false"/>
                <w:color w:val="222222"/>
                <w:sz w:val="18"/>
                <w:szCs w:val="18"/>
              </w:rPr>
              <w:t xml:space="preserve">PlanHorizonPrompt exists. Collectors must not persist next-year rows. Confirm the June prompt still asks before PlanHorizonAssumeNextYear, and that assumed weeks are marked.</w:t>
            </w:r>
          </w:p>
        </w:tc>
      </w:tr>
      <w:tr>
        <w:tc>
          <w:tcPr>
            <w:tcW w:type="dxa" w:w="1500"/>
            <w:tcBorders>
              <w:top w:val="single" w:color="CCCCCC" w:sz="4"/>
              <w:left w:val="single" w:color="CCCCCC" w:sz="4"/>
              <w:bottom w:val="single" w:color="CCCCCC" w:sz="4"/>
              <w:right w:val="single" w:color="CCCCCC" w:sz="4"/>
            </w:tcBorders>
            <w:shd w:fill="F4D6D6" w:val="clear"/>
            <w:tcMar>
              <w:top w:type="dxa" w:w="50"/>
              <w:left w:type="dxa" w:w="70"/>
              <w:bottom w:type="dxa" w:w="50"/>
              <w:right w:type="dxa" w:w="70"/>
            </w:tcMar>
          </w:tcPr>
          <w:p>
            <w:r>
              <w:rPr>
                <w:rFonts w:ascii="Arial" w:cs="Arial" w:eastAsia="Arial" w:hAnsi="Arial"/>
                <w:b/>
                <w:bCs/>
                <w:color w:val="7A1F1F"/>
                <w:sz w:val="18"/>
                <w:szCs w:val="18"/>
              </w:rPr>
              <w:t xml:space="preserve">Miss</w:t>
            </w:r>
          </w:p>
        </w:tc>
        <w:tc>
          <w:tcPr>
            <w:tcW w:type="dxa" w:w="2500"/>
            <w:tcBorders>
              <w:top w:val="single" w:color="CCCCCC" w:sz="4"/>
              <w:left w:val="single" w:color="CCCCCC" w:sz="4"/>
              <w:bottom w:val="single" w:color="CCCCCC" w:sz="4"/>
              <w:right w:val="single" w:color="CCCCCC" w:sz="4"/>
            </w:tcBorders>
            <w:shd w:fill="F4D6D6" w:val="clear"/>
            <w:tcMar>
              <w:top w:type="dxa" w:w="50"/>
              <w:left w:type="dxa" w:w="70"/>
              <w:bottom w:type="dxa" w:w="50"/>
              <w:right w:type="dxa" w:w="70"/>
            </w:tcMar>
          </w:tcPr>
          <w:p>
            <w:r>
              <w:rPr>
                <w:rFonts w:ascii="Arial" w:cs="Arial" w:eastAsia="Arial" w:hAnsi="Arial"/>
                <w:b/>
                <w:bCs/>
                <w:color w:val="222222"/>
                <w:sz w:val="18"/>
                <w:szCs w:val="18"/>
              </w:rPr>
              <w:t xml:space="preserve">Account 9 naming</w:t>
            </w:r>
          </w:p>
        </w:tc>
        <w:tc>
          <w:tcPr>
            <w:tcW w:type="dxa" w:w="5360"/>
            <w:tcBorders>
              <w:top w:val="single" w:color="CCCCCC" w:sz="4"/>
              <w:left w:val="single" w:color="CCCCCC" w:sz="4"/>
              <w:bottom w:val="single" w:color="CCCCCC" w:sz="4"/>
              <w:right w:val="single" w:color="CCCCCC" w:sz="4"/>
            </w:tcBorders>
            <w:shd w:fill="F4D6D6" w:val="clear"/>
            <w:tcMar>
              <w:top w:type="dxa" w:w="50"/>
              <w:left w:type="dxa" w:w="70"/>
              <w:bottom w:type="dxa" w:w="50"/>
              <w:right w:type="dxa" w:w="70"/>
            </w:tcMar>
          </w:tcPr>
          <w:p>
            <w:r>
              <w:rPr>
                <w:rFonts w:ascii="Arial" w:cs="Arial" w:eastAsia="Arial" w:hAnsi="Arial"/>
                <w:b w:val="false"/>
                <w:bCs w:val="false"/>
                <w:color w:val="222222"/>
                <w:sz w:val="18"/>
                <w:szCs w:val="18"/>
              </w:rPr>
              <w:t xml:space="preserve">Burndown list is Income, Car, Health, Roth. Live book is FI Roth and 9. Account 9 is excluded from dashboard burndown while cash-flow Q3 put 9 on the same cash engine. Pick one and label the page.</w:t>
            </w:r>
          </w:p>
        </w:tc>
      </w:tr>
    </w:tbl>
    <w:p>
      <w:pPr>
        <w:pStyle w:val="Heading1"/>
        <w:spacing w:after="100" w:before="280"/>
      </w:pPr>
      <w:r>
        <w:rPr>
          <w:rFonts w:ascii="Arial" w:cs="Arial" w:eastAsia="Arial" w:hAnsi="Arial"/>
          <w:b/>
          <w:bCs/>
          <w:sz w:val="32"/>
          <w:szCs w:val="32"/>
        </w:rPr>
        <w:t xml:space="preserve">Calculator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Status</w:t>
            </w:r>
          </w:p>
        </w:tc>
        <w:tc>
          <w:tcPr>
            <w:tcW w:type="dxa" w:w="250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Component</w:t>
            </w:r>
          </w:p>
        </w:tc>
        <w:tc>
          <w:tcPr>
            <w:tcW w:type="dxa" w:w="536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Gap or recommendation</w:t>
            </w:r>
          </w:p>
        </w:tc>
      </w:tr>
      <w:tr>
        <w:tc>
          <w:tcPr>
            <w:tcW w:type="dxa" w:w="1500"/>
            <w:tcBorders>
              <w:top w:val="single" w:color="CCCCCC" w:sz="4"/>
              <w:left w:val="single" w:color="CCCCCC" w:sz="4"/>
              <w:bottom w:val="single" w:color="CCCCCC" w:sz="4"/>
              <w:right w:val="single" w:color="CCCCCC" w:sz="4"/>
            </w:tcBorders>
            <w:shd w:fill="E5F2E5" w:val="clear"/>
            <w:tcMar>
              <w:top w:type="dxa" w:w="50"/>
              <w:left w:type="dxa" w:w="70"/>
              <w:bottom w:type="dxa" w:w="50"/>
              <w:right w:type="dxa" w:w="70"/>
            </w:tcMar>
          </w:tcPr>
          <w:p>
            <w:r>
              <w:rPr>
                <w:rFonts w:ascii="Arial" w:cs="Arial" w:eastAsia="Arial" w:hAnsi="Arial"/>
                <w:b/>
                <w:bCs/>
                <w:color w:val="1E4D1E"/>
                <w:sz w:val="18"/>
                <w:szCs w:val="18"/>
              </w:rPr>
              <w:t xml:space="preserve">OK</w:t>
            </w:r>
          </w:p>
        </w:tc>
        <w:tc>
          <w:tcPr>
            <w:tcW w:type="dxa" w:w="2500"/>
            <w:tcBorders>
              <w:top w:val="single" w:color="CCCCCC" w:sz="4"/>
              <w:left w:val="single" w:color="CCCCCC" w:sz="4"/>
              <w:bottom w:val="single" w:color="CCCCCC" w:sz="4"/>
              <w:right w:val="single" w:color="CCCCCC" w:sz="4"/>
            </w:tcBorders>
            <w:shd w:fill="E5F2E5" w:val="clear"/>
            <w:tcMar>
              <w:top w:type="dxa" w:w="50"/>
              <w:left w:type="dxa" w:w="70"/>
              <w:bottom w:type="dxa" w:w="50"/>
              <w:right w:type="dxa" w:w="70"/>
            </w:tcMar>
          </w:tcPr>
          <w:p>
            <w:r>
              <w:rPr>
                <w:rFonts w:ascii="Arial" w:cs="Arial" w:eastAsia="Arial" w:hAnsi="Arial"/>
                <w:b/>
                <w:bCs/>
                <w:color w:val="222222"/>
                <w:sz w:val="18"/>
                <w:szCs w:val="18"/>
              </w:rPr>
              <w:t xml:space="preserve">Most Current / Avg 6 / 3-pay</w:t>
            </w:r>
          </w:p>
        </w:tc>
        <w:tc>
          <w:tcPr>
            <w:tcW w:type="dxa" w:w="5360"/>
            <w:tcBorders>
              <w:top w:val="single" w:color="CCCCCC" w:sz="4"/>
              <w:left w:val="single" w:color="CCCCCC" w:sz="4"/>
              <w:bottom w:val="single" w:color="CCCCCC" w:sz="4"/>
              <w:right w:val="single" w:color="CCCCCC" w:sz="4"/>
            </w:tcBorders>
            <w:shd w:fill="E5F2E5" w:val="clear"/>
            <w:tcMar>
              <w:top w:type="dxa" w:w="50"/>
              <w:left w:type="dxa" w:w="70"/>
              <w:bottom w:type="dxa" w:w="50"/>
              <w:right w:type="dxa" w:w="70"/>
            </w:tcMar>
          </w:tcPr>
          <w:p>
            <w:r>
              <w:rPr>
                <w:rFonts w:ascii="Arial" w:cs="Arial" w:eastAsia="Arial" w:hAnsi="Arial"/>
                <w:b w:val="false"/>
                <w:bCs w:val="false"/>
                <w:color w:val="222222"/>
                <w:sz w:val="18"/>
                <w:szCs w:val="18"/>
              </w:rPr>
              <w:t xml:space="preserve">Sheet uses recentPays and inForcePays, newest first. Server list is superseded_by IS NULL, pay date descending. Blank stays null. The 5 Oct old-end walk is closed on this path.</w:t>
            </w:r>
          </w:p>
        </w:tc>
      </w:tr>
      <w:tr>
        <w:tc>
          <w:tcPr>
            <w:tcW w:type="dxa" w:w="1500"/>
            <w:tcBorders>
              <w:top w:val="single" w:color="CCCCCC" w:sz="4"/>
              <w:left w:val="single" w:color="CCCCCC" w:sz="4"/>
              <w:bottom w:val="single" w:color="CCCCCC" w:sz="4"/>
              <w:right w:val="single" w:color="CCCCCC" w:sz="4"/>
            </w:tcBorders>
            <w:shd w:fill="F4D6D6" w:val="clear"/>
            <w:tcMar>
              <w:top w:type="dxa" w:w="50"/>
              <w:left w:type="dxa" w:w="70"/>
              <w:bottom w:type="dxa" w:w="50"/>
              <w:right w:type="dxa" w:w="70"/>
            </w:tcMar>
          </w:tcPr>
          <w:p>
            <w:r>
              <w:rPr>
                <w:rFonts w:ascii="Arial" w:cs="Arial" w:eastAsia="Arial" w:hAnsi="Arial"/>
                <w:b/>
                <w:bCs/>
                <w:color w:val="7A1F1F"/>
                <w:sz w:val="18"/>
                <w:szCs w:val="18"/>
              </w:rPr>
              <w:t xml:space="preserve">Miss</w:t>
            </w:r>
          </w:p>
        </w:tc>
        <w:tc>
          <w:tcPr>
            <w:tcW w:type="dxa" w:w="2500"/>
            <w:tcBorders>
              <w:top w:val="single" w:color="CCCCCC" w:sz="4"/>
              <w:left w:val="single" w:color="CCCCCC" w:sz="4"/>
              <w:bottom w:val="single" w:color="CCCCCC" w:sz="4"/>
              <w:right w:val="single" w:color="CCCCCC" w:sz="4"/>
            </w:tcBorders>
            <w:shd w:fill="F4D6D6" w:val="clear"/>
            <w:tcMar>
              <w:top w:type="dxa" w:w="50"/>
              <w:left w:type="dxa" w:w="70"/>
              <w:bottom w:type="dxa" w:w="50"/>
              <w:right w:type="dxa" w:w="70"/>
            </w:tcMar>
          </w:tcPr>
          <w:p>
            <w:r>
              <w:rPr>
                <w:rFonts w:ascii="Arial" w:cs="Arial" w:eastAsia="Arial" w:hAnsi="Arial"/>
                <w:b/>
                <w:bCs/>
                <w:color w:val="222222"/>
                <w:sz w:val="18"/>
                <w:szCs w:val="18"/>
              </w:rPr>
              <w:t xml:space="preserve">CASH rows</w:t>
            </w:r>
          </w:p>
        </w:tc>
        <w:tc>
          <w:tcPr>
            <w:tcW w:type="dxa" w:w="5360"/>
            <w:tcBorders>
              <w:top w:val="single" w:color="CCCCCC" w:sz="4"/>
              <w:left w:val="single" w:color="CCCCCC" w:sz="4"/>
              <w:bottom w:val="single" w:color="CCCCCC" w:sz="4"/>
              <w:right w:val="single" w:color="CCCCCC" w:sz="4"/>
            </w:tcBorders>
            <w:shd w:fill="F4D6D6" w:val="clear"/>
            <w:tcMar>
              <w:top w:type="dxa" w:w="50"/>
              <w:left w:type="dxa" w:w="70"/>
              <w:bottom w:type="dxa" w:w="50"/>
              <w:right w:type="dxa" w:w="70"/>
            </w:tcMar>
          </w:tcPr>
          <w:p>
            <w:r>
              <w:rPr>
                <w:rFonts w:ascii="Arial" w:cs="Arial" w:eastAsia="Arial" w:hAnsi="Arial"/>
                <w:b w:val="false"/>
                <w:bCs w:val="false"/>
                <w:color w:val="222222"/>
                <w:sz w:val="18"/>
                <w:szCs w:val="18"/>
              </w:rPr>
              <w:t xml:space="preserve">calculator_view_includes and calculatorEligibleMaster still admit CASH. Owner lock 5 Oct is DIV-1 only. Cash rows render N/A on TVAL but still occupy the sheet. Drop CASH from both gates and from the SPAXX unit test that requires inclusion.</w:t>
            </w:r>
          </w:p>
        </w:tc>
      </w:tr>
      <w:tr>
        <w:tc>
          <w:tcPr>
            <w:tcW w:type="dxa" w:w="1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7A4E00"/>
                <w:sz w:val="18"/>
                <w:szCs w:val="18"/>
              </w:rPr>
              <w:t xml:space="preserve">Partial</w:t>
            </w:r>
          </w:p>
        </w:tc>
        <w:tc>
          <w:tcPr>
            <w:tcW w:type="dxa" w:w="2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222222"/>
                <w:sz w:val="18"/>
                <w:szCs w:val="18"/>
              </w:rPr>
              <w:t xml:space="preserve">Period control</w:t>
            </w:r>
          </w:p>
        </w:tc>
        <w:tc>
          <w:tcPr>
            <w:tcW w:type="dxa" w:w="536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val="false"/>
                <w:bCs w:val="false"/>
                <w:color w:val="222222"/>
                <w:sz w:val="18"/>
                <w:szCs w:val="18"/>
              </w:rPr>
              <w:t xml:space="preserve">Default is Trailing year. Last 60 days is still a choice. Averages that use recentPays ignore that window. Min and the paid-in-view column still use visible cells. Say so on the column, or point Min at all in-force pays.</w:t>
            </w:r>
          </w:p>
        </w:tc>
      </w:tr>
      <w:tr>
        <w:tc>
          <w:tcPr>
            <w:tcW w:type="dxa" w:w="1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7A4E00"/>
                <w:sz w:val="18"/>
                <w:szCs w:val="18"/>
              </w:rPr>
              <w:t xml:space="preserve">Partial</w:t>
            </w:r>
          </w:p>
        </w:tc>
        <w:tc>
          <w:tcPr>
            <w:tcW w:type="dxa" w:w="2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222222"/>
                <w:sz w:val="18"/>
                <w:szCs w:val="18"/>
              </w:rPr>
              <w:t xml:space="preserve">TVAL</w:t>
            </w:r>
          </w:p>
        </w:tc>
        <w:tc>
          <w:tcPr>
            <w:tcW w:type="dxa" w:w="536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val="false"/>
                <w:bCs w:val="false"/>
                <w:color w:val="222222"/>
                <w:sz w:val="18"/>
                <w:szCs w:val="18"/>
              </w:rPr>
              <w:t xml:space="preserve">Sheet TVAL is (Gain% × 2 + plan FWD) / 2. Locked Holdings TVAL is P&amp;L% + Annual%. Rename this column Calculator blend. Do not treat field-intent status matches as proof.</w:t>
            </w:r>
          </w:p>
        </w:tc>
      </w:tr>
      <w:tr>
        <w:tc>
          <w:tcPr>
            <w:tcW w:type="dxa" w:w="1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7A4E00"/>
                <w:sz w:val="18"/>
                <w:szCs w:val="18"/>
              </w:rPr>
              <w:t xml:space="preserve">Partial</w:t>
            </w:r>
          </w:p>
        </w:tc>
        <w:tc>
          <w:tcPr>
            <w:tcW w:type="dxa" w:w="2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222222"/>
                <w:sz w:val="18"/>
                <w:szCs w:val="18"/>
              </w:rPr>
              <w:t xml:space="preserve">Week grid</w:t>
            </w:r>
          </w:p>
        </w:tc>
        <w:tc>
          <w:tcPr>
            <w:tcW w:type="dxa" w:w="536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val="false"/>
                <w:bCs w:val="false"/>
                <w:color w:val="222222"/>
                <w:sz w:val="18"/>
                <w:szCs w:val="18"/>
              </w:rPr>
              <w:t xml:space="preserve">DeclarationHistoryTable caps at 52 Fridays. Caption correctly says empty is unknown. Weekly cadence in the engine is still 52. The 53-week owner decision is still open.</w:t>
            </w:r>
          </w:p>
        </w:tc>
      </w:tr>
      <w:tr>
        <w:tc>
          <w:tcPr>
            <w:tcW w:type="dxa" w:w="1500"/>
            <w:tcBorders>
              <w:top w:val="single" w:color="CCCCCC" w:sz="4"/>
              <w:left w:val="single" w:color="CCCCCC" w:sz="4"/>
              <w:bottom w:val="single" w:color="CCCCCC" w:sz="4"/>
              <w:right w:val="single" w:color="CCCCCC" w:sz="4"/>
            </w:tcBorders>
            <w:shd w:fill="E5F2E5" w:val="clear"/>
            <w:tcMar>
              <w:top w:type="dxa" w:w="50"/>
              <w:left w:type="dxa" w:w="70"/>
              <w:bottom w:type="dxa" w:w="50"/>
              <w:right w:type="dxa" w:w="70"/>
            </w:tcMar>
          </w:tcPr>
          <w:p>
            <w:r>
              <w:rPr>
                <w:rFonts w:ascii="Arial" w:cs="Arial" w:eastAsia="Arial" w:hAnsi="Arial"/>
                <w:b/>
                <w:bCs/>
                <w:color w:val="1E4D1E"/>
                <w:sz w:val="18"/>
                <w:szCs w:val="18"/>
              </w:rPr>
              <w:t xml:space="preserve">OK</w:t>
            </w:r>
          </w:p>
        </w:tc>
        <w:tc>
          <w:tcPr>
            <w:tcW w:type="dxa" w:w="2500"/>
            <w:tcBorders>
              <w:top w:val="single" w:color="CCCCCC" w:sz="4"/>
              <w:left w:val="single" w:color="CCCCCC" w:sz="4"/>
              <w:bottom w:val="single" w:color="CCCCCC" w:sz="4"/>
              <w:right w:val="single" w:color="CCCCCC" w:sz="4"/>
            </w:tcBorders>
            <w:shd w:fill="E5F2E5" w:val="clear"/>
            <w:tcMar>
              <w:top w:type="dxa" w:w="50"/>
              <w:left w:type="dxa" w:w="70"/>
              <w:bottom w:type="dxa" w:w="50"/>
              <w:right w:type="dxa" w:w="70"/>
            </w:tcMar>
          </w:tcPr>
          <w:p>
            <w:r>
              <w:rPr>
                <w:rFonts w:ascii="Arial" w:cs="Arial" w:eastAsia="Arial" w:hAnsi="Arial"/>
                <w:b/>
                <w:bCs/>
                <w:color w:val="222222"/>
                <w:sz w:val="18"/>
                <w:szCs w:val="18"/>
              </w:rPr>
              <w:t xml:space="preserve">Plan edit</w:t>
            </w:r>
          </w:p>
        </w:tc>
        <w:tc>
          <w:tcPr>
            <w:tcW w:type="dxa" w:w="5360"/>
            <w:tcBorders>
              <w:top w:val="single" w:color="CCCCCC" w:sz="4"/>
              <w:left w:val="single" w:color="CCCCCC" w:sz="4"/>
              <w:bottom w:val="single" w:color="CCCCCC" w:sz="4"/>
              <w:right w:val="single" w:color="CCCCCC" w:sz="4"/>
            </w:tcBorders>
            <w:shd w:fill="E5F2E5" w:val="clear"/>
            <w:tcMar>
              <w:top w:type="dxa" w:w="50"/>
              <w:left w:type="dxa" w:w="70"/>
              <w:bottom w:type="dxa" w:w="50"/>
              <w:right w:type="dxa" w:w="70"/>
            </w:tcMar>
          </w:tcPr>
          <w:p>
            <w:r>
              <w:rPr>
                <w:rFonts w:ascii="Arial" w:cs="Arial" w:eastAsia="Arial" w:hAnsi="Arial"/>
                <w:b w:val="false"/>
                <w:bCs w:val="false"/>
                <w:color w:val="222222"/>
                <w:sz w:val="18"/>
                <w:szCs w:val="18"/>
              </w:rPr>
              <w:t xml:space="preserve">Use Most Current / Use Avg 6 are explicit buttons. Confirm does not copy Avg 6 into Plan by itself.</w:t>
            </w:r>
          </w:p>
        </w:tc>
      </w:tr>
    </w:tbl>
    <w:p>
      <w:pPr>
        <w:pStyle w:val="Heading1"/>
        <w:spacing w:after="100" w:before="280"/>
      </w:pPr>
      <w:r>
        <w:rPr>
          <w:rFonts w:ascii="Arial" w:cs="Arial" w:eastAsia="Arial" w:hAnsi="Arial"/>
          <w:b/>
          <w:bCs/>
          <w:sz w:val="32"/>
          <w:szCs w:val="32"/>
        </w:rPr>
        <w:t xml:space="preserve">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Status</w:t>
            </w:r>
          </w:p>
        </w:tc>
        <w:tc>
          <w:tcPr>
            <w:tcW w:type="dxa" w:w="250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Component</w:t>
            </w:r>
          </w:p>
        </w:tc>
        <w:tc>
          <w:tcPr>
            <w:tcW w:type="dxa" w:w="536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Gap or recommendation</w:t>
            </w:r>
          </w:p>
        </w:tc>
      </w:tr>
      <w:tr>
        <w:tc>
          <w:tcPr>
            <w:tcW w:type="dxa" w:w="1500"/>
            <w:tcBorders>
              <w:top w:val="single" w:color="CCCCCC" w:sz="4"/>
              <w:left w:val="single" w:color="CCCCCC" w:sz="4"/>
              <w:bottom w:val="single" w:color="CCCCCC" w:sz="4"/>
              <w:right w:val="single" w:color="CCCCCC" w:sz="4"/>
            </w:tcBorders>
            <w:shd w:fill="F4D6D6" w:val="clear"/>
            <w:tcMar>
              <w:top w:type="dxa" w:w="50"/>
              <w:left w:type="dxa" w:w="70"/>
              <w:bottom w:type="dxa" w:w="50"/>
              <w:right w:type="dxa" w:w="70"/>
            </w:tcMar>
          </w:tcPr>
          <w:p>
            <w:r>
              <w:rPr>
                <w:rFonts w:ascii="Arial" w:cs="Arial" w:eastAsia="Arial" w:hAnsi="Arial"/>
                <w:b/>
                <w:bCs/>
                <w:color w:val="7A1F1F"/>
                <w:sz w:val="18"/>
                <w:szCs w:val="18"/>
              </w:rPr>
              <w:t xml:space="preserve">Miss</w:t>
            </w:r>
          </w:p>
        </w:tc>
        <w:tc>
          <w:tcPr>
            <w:tcW w:type="dxa" w:w="2500"/>
            <w:tcBorders>
              <w:top w:val="single" w:color="CCCCCC" w:sz="4"/>
              <w:left w:val="single" w:color="CCCCCC" w:sz="4"/>
              <w:bottom w:val="single" w:color="CCCCCC" w:sz="4"/>
              <w:right w:val="single" w:color="CCCCCC" w:sz="4"/>
            </w:tcBorders>
            <w:shd w:fill="F4D6D6" w:val="clear"/>
            <w:tcMar>
              <w:top w:type="dxa" w:w="50"/>
              <w:left w:type="dxa" w:w="70"/>
              <w:bottom w:type="dxa" w:w="50"/>
              <w:right w:type="dxa" w:w="70"/>
            </w:tcMar>
          </w:tcPr>
          <w:p>
            <w:r>
              <w:rPr>
                <w:rFonts w:ascii="Arial" w:cs="Arial" w:eastAsia="Arial" w:hAnsi="Arial"/>
                <w:b/>
                <w:bCs/>
                <w:color w:val="222222"/>
                <w:sz w:val="18"/>
                <w:szCs w:val="18"/>
              </w:rPr>
              <w:t xml:space="preserve">Burndown floor</w:t>
            </w:r>
          </w:p>
        </w:tc>
        <w:tc>
          <w:tcPr>
            <w:tcW w:type="dxa" w:w="5360"/>
            <w:tcBorders>
              <w:top w:val="single" w:color="CCCCCC" w:sz="4"/>
              <w:left w:val="single" w:color="CCCCCC" w:sz="4"/>
              <w:bottom w:val="single" w:color="CCCCCC" w:sz="4"/>
              <w:right w:val="single" w:color="CCCCCC" w:sz="4"/>
            </w:tcBorders>
            <w:shd w:fill="F4D6D6" w:val="clear"/>
            <w:tcMar>
              <w:top w:type="dxa" w:w="50"/>
              <w:left w:type="dxa" w:w="70"/>
              <w:bottom w:type="dxa" w:w="50"/>
              <w:right w:type="dxa" w:w="70"/>
            </w:tcMar>
          </w:tcPr>
          <w:p>
            <w:r>
              <w:rPr>
                <w:rFonts w:ascii="Arial" w:cs="Arial" w:eastAsia="Arial" w:hAnsi="Arial"/>
                <w:b w:val="false"/>
                <w:bCs w:val="false"/>
                <w:color w:val="222222"/>
                <w:sz w:val="18"/>
                <w:szCs w:val="18"/>
              </w:rPr>
              <w:t xml:space="preserve">Floor column exists. Every line is built with floor_known: false because min_balance_target was never stored. Ending balance comes from Trends snapshots. Recommendation: store the cash floor on the account and compare it to the cash lot only.</w:t>
            </w:r>
          </w:p>
        </w:tc>
      </w:tr>
      <w:tr>
        <w:tc>
          <w:tcPr>
            <w:tcW w:type="dxa" w:w="1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7A4E00"/>
                <w:sz w:val="18"/>
                <w:szCs w:val="18"/>
              </w:rPr>
              <w:t xml:space="preserve">Partial</w:t>
            </w:r>
          </w:p>
        </w:tc>
        <w:tc>
          <w:tcPr>
            <w:tcW w:type="dxa" w:w="2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222222"/>
                <w:sz w:val="18"/>
                <w:szCs w:val="18"/>
              </w:rPr>
              <w:t xml:space="preserve">Account set</w:t>
            </w:r>
          </w:p>
        </w:tc>
        <w:tc>
          <w:tcPr>
            <w:tcW w:type="dxa" w:w="536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val="false"/>
                <w:bCs w:val="false"/>
                <w:color w:val="222222"/>
                <w:sz w:val="18"/>
                <w:szCs w:val="18"/>
              </w:rPr>
              <w:t xml:space="preserve">Note still says Account 9 excluded. Roth label may not match FI Roth unless map_control_account ran. Show the book name the owner types.</w:t>
            </w:r>
          </w:p>
        </w:tc>
      </w:tr>
      <w:tr>
        <w:tc>
          <w:tcPr>
            <w:tcW w:type="dxa" w:w="1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7A4E00"/>
                <w:sz w:val="18"/>
                <w:szCs w:val="18"/>
              </w:rPr>
              <w:t xml:space="preserve">Partial</w:t>
            </w:r>
          </w:p>
        </w:tc>
        <w:tc>
          <w:tcPr>
            <w:tcW w:type="dxa" w:w="2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222222"/>
                <w:sz w:val="18"/>
                <w:szCs w:val="18"/>
              </w:rPr>
              <w:t xml:space="preserve">Inflow</w:t>
            </w:r>
          </w:p>
        </w:tc>
        <w:tc>
          <w:tcPr>
            <w:tcW w:type="dxa" w:w="536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val="false"/>
                <w:bCs w:val="false"/>
                <w:color w:val="222222"/>
                <w:sz w:val="18"/>
                <w:szCs w:val="18"/>
              </w:rPr>
              <w:t xml:space="preserve">Dividend inflow is week actualMinor. If that actual is plan or declaration, the burndown is not cash. Tie inflow to broker Dividend rows only.</w:t>
            </w:r>
          </w:p>
        </w:tc>
      </w:tr>
    </w:tbl>
    <w:p>
      <w:pPr>
        <w:pStyle w:val="Heading1"/>
        <w:spacing w:after="100" w:before="280"/>
      </w:pPr>
      <w:r>
        <w:rPr>
          <w:rFonts w:ascii="Arial" w:cs="Arial" w:eastAsia="Arial" w:hAnsi="Arial"/>
          <w:b/>
          <w:bCs/>
          <w:sz w:val="32"/>
          <w:szCs w:val="32"/>
        </w:rPr>
        <w:t xml:space="preserve">Position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Status</w:t>
            </w:r>
          </w:p>
        </w:tc>
        <w:tc>
          <w:tcPr>
            <w:tcW w:type="dxa" w:w="250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Component</w:t>
            </w:r>
          </w:p>
        </w:tc>
        <w:tc>
          <w:tcPr>
            <w:tcW w:type="dxa" w:w="536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Gap or recommendation</w:t>
            </w:r>
          </w:p>
        </w:tc>
      </w:tr>
      <w:tr>
        <w:tc>
          <w:tcPr>
            <w:tcW w:type="dxa" w:w="1500"/>
            <w:tcBorders>
              <w:top w:val="single" w:color="CCCCCC" w:sz="4"/>
              <w:left w:val="single" w:color="CCCCCC" w:sz="4"/>
              <w:bottom w:val="single" w:color="CCCCCC" w:sz="4"/>
              <w:right w:val="single" w:color="CCCCCC" w:sz="4"/>
            </w:tcBorders>
            <w:shd w:fill="E5F2E5" w:val="clear"/>
            <w:tcMar>
              <w:top w:type="dxa" w:w="50"/>
              <w:left w:type="dxa" w:w="70"/>
              <w:bottom w:type="dxa" w:w="50"/>
              <w:right w:type="dxa" w:w="70"/>
            </w:tcMar>
          </w:tcPr>
          <w:p>
            <w:r>
              <w:rPr>
                <w:rFonts w:ascii="Arial" w:cs="Arial" w:eastAsia="Arial" w:hAnsi="Arial"/>
                <w:b/>
                <w:bCs/>
                <w:color w:val="1E4D1E"/>
                <w:sz w:val="18"/>
                <w:szCs w:val="18"/>
              </w:rPr>
              <w:t xml:space="preserve">OK</w:t>
            </w:r>
          </w:p>
        </w:tc>
        <w:tc>
          <w:tcPr>
            <w:tcW w:type="dxa" w:w="2500"/>
            <w:tcBorders>
              <w:top w:val="single" w:color="CCCCCC" w:sz="4"/>
              <w:left w:val="single" w:color="CCCCCC" w:sz="4"/>
              <w:bottom w:val="single" w:color="CCCCCC" w:sz="4"/>
              <w:right w:val="single" w:color="CCCCCC" w:sz="4"/>
            </w:tcBorders>
            <w:shd w:fill="E5F2E5" w:val="clear"/>
            <w:tcMar>
              <w:top w:type="dxa" w:w="50"/>
              <w:left w:type="dxa" w:w="70"/>
              <w:bottom w:type="dxa" w:w="50"/>
              <w:right w:type="dxa" w:w="70"/>
            </w:tcMar>
          </w:tcPr>
          <w:p>
            <w:r>
              <w:rPr>
                <w:rFonts w:ascii="Arial" w:cs="Arial" w:eastAsia="Arial" w:hAnsi="Arial"/>
                <w:b/>
                <w:bCs/>
                <w:color w:val="222222"/>
                <w:sz w:val="18"/>
                <w:szCs w:val="18"/>
              </w:rPr>
              <w:t xml:space="preserve">Plan and yields</w:t>
            </w:r>
          </w:p>
        </w:tc>
        <w:tc>
          <w:tcPr>
            <w:tcW w:type="dxa" w:w="5360"/>
            <w:tcBorders>
              <w:top w:val="single" w:color="CCCCCC" w:sz="4"/>
              <w:left w:val="single" w:color="CCCCCC" w:sz="4"/>
              <w:bottom w:val="single" w:color="CCCCCC" w:sz="4"/>
              <w:right w:val="single" w:color="CCCCCC" w:sz="4"/>
            </w:tcBorders>
            <w:shd w:fill="E5F2E5" w:val="clear"/>
            <w:tcMar>
              <w:top w:type="dxa" w:w="50"/>
              <w:left w:type="dxa" w:w="70"/>
              <w:bottom w:type="dxa" w:w="50"/>
              <w:right w:type="dxa" w:w="70"/>
            </w:tcMar>
          </w:tcPr>
          <w:p>
            <w:r>
              <w:rPr>
                <w:rFonts w:ascii="Arial" w:cs="Arial" w:eastAsia="Arial" w:hAnsi="Arial"/>
                <w:b w:val="false"/>
                <w:bCs w:val="false"/>
                <w:color w:val="222222"/>
                <w:sz w:val="18"/>
                <w:szCs w:val="18"/>
              </w:rPr>
              <w:t xml:space="preserve">Most Current, Avg 6, Plan YOC, and Most Current FWD read review / newest stored pay. Plan is not seeded from Most Current.</w:t>
            </w:r>
          </w:p>
        </w:tc>
      </w:tr>
      <w:tr>
        <w:tc>
          <w:tcPr>
            <w:tcW w:type="dxa" w:w="1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7A4E00"/>
                <w:sz w:val="18"/>
                <w:szCs w:val="18"/>
              </w:rPr>
              <w:t xml:space="preserve">Partial</w:t>
            </w:r>
          </w:p>
        </w:tc>
        <w:tc>
          <w:tcPr>
            <w:tcW w:type="dxa" w:w="2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222222"/>
                <w:sz w:val="18"/>
                <w:szCs w:val="18"/>
              </w:rPr>
              <w:t xml:space="preserve">Min pay</w:t>
            </w:r>
          </w:p>
        </w:tc>
        <w:tc>
          <w:tcPr>
            <w:tcW w:type="dxa" w:w="536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val="false"/>
                <w:bCs w:val="false"/>
                <w:color w:val="222222"/>
                <w:sz w:val="18"/>
                <w:szCs w:val="18"/>
              </w:rPr>
              <w:t xml:space="preserve">minPaidDeclaration still scans visible history cells, not the full in-force list. Label it as the window min, or switch the input.</w:t>
            </w:r>
          </w:p>
        </w:tc>
      </w:tr>
      <w:tr>
        <w:tc>
          <w:tcPr>
            <w:tcW w:type="dxa" w:w="1500"/>
            <w:tcBorders>
              <w:top w:val="single" w:color="CCCCCC" w:sz="4"/>
              <w:left w:val="single" w:color="CCCCCC" w:sz="4"/>
              <w:bottom w:val="single" w:color="CCCCCC" w:sz="4"/>
              <w:right w:val="single" w:color="CCCCCC" w:sz="4"/>
            </w:tcBorders>
            <w:shd w:fill="E5F2E5" w:val="clear"/>
            <w:tcMar>
              <w:top w:type="dxa" w:w="50"/>
              <w:left w:type="dxa" w:w="70"/>
              <w:bottom w:type="dxa" w:w="50"/>
              <w:right w:type="dxa" w:w="70"/>
            </w:tcMar>
          </w:tcPr>
          <w:p>
            <w:r>
              <w:rPr>
                <w:rFonts w:ascii="Arial" w:cs="Arial" w:eastAsia="Arial" w:hAnsi="Arial"/>
                <w:b/>
                <w:bCs/>
                <w:color w:val="1E4D1E"/>
                <w:sz w:val="18"/>
                <w:szCs w:val="18"/>
              </w:rPr>
              <w:t xml:space="preserve">OK</w:t>
            </w:r>
          </w:p>
        </w:tc>
        <w:tc>
          <w:tcPr>
            <w:tcW w:type="dxa" w:w="2500"/>
            <w:tcBorders>
              <w:top w:val="single" w:color="CCCCCC" w:sz="4"/>
              <w:left w:val="single" w:color="CCCCCC" w:sz="4"/>
              <w:bottom w:val="single" w:color="CCCCCC" w:sz="4"/>
              <w:right w:val="single" w:color="CCCCCC" w:sz="4"/>
            </w:tcBorders>
            <w:shd w:fill="E5F2E5" w:val="clear"/>
            <w:tcMar>
              <w:top w:type="dxa" w:w="50"/>
              <w:left w:type="dxa" w:w="70"/>
              <w:bottom w:type="dxa" w:w="50"/>
              <w:right w:type="dxa" w:w="70"/>
            </w:tcMar>
          </w:tcPr>
          <w:p>
            <w:r>
              <w:rPr>
                <w:rFonts w:ascii="Arial" w:cs="Arial" w:eastAsia="Arial" w:hAnsi="Arial"/>
                <w:b/>
                <w:bCs/>
                <w:color w:val="222222"/>
                <w:sz w:val="18"/>
                <w:szCs w:val="18"/>
              </w:rPr>
              <w:t xml:space="preserve">ROC</w:t>
            </w:r>
          </w:p>
        </w:tc>
        <w:tc>
          <w:tcPr>
            <w:tcW w:type="dxa" w:w="5360"/>
            <w:tcBorders>
              <w:top w:val="single" w:color="CCCCCC" w:sz="4"/>
              <w:left w:val="single" w:color="CCCCCC" w:sz="4"/>
              <w:bottom w:val="single" w:color="CCCCCC" w:sz="4"/>
              <w:right w:val="single" w:color="CCCCCC" w:sz="4"/>
            </w:tcBorders>
            <w:shd w:fill="E5F2E5" w:val="clear"/>
            <w:tcMar>
              <w:top w:type="dxa" w:w="50"/>
              <w:left w:type="dxa" w:w="70"/>
              <w:bottom w:type="dxa" w:w="50"/>
              <w:right w:type="dxa" w:w="70"/>
            </w:tcMar>
          </w:tcPr>
          <w:p>
            <w:r>
              <w:rPr>
                <w:rFonts w:ascii="Arial" w:cs="Arial" w:eastAsia="Arial" w:hAnsi="Arial"/>
                <w:b w:val="false"/>
                <w:bCs w:val="false"/>
                <w:color w:val="222222"/>
                <w:sz w:val="18"/>
                <w:szCs w:val="18"/>
              </w:rPr>
              <w:t xml:space="preserve">Unknown stays unknown. Year percents are on the master. Car split uses the estimate. MLP / CASH / BDC skip the 19a-1 hunt.</w:t>
            </w:r>
          </w:p>
        </w:tc>
      </w:tr>
      <w:tr>
        <w:tc>
          <w:tcPr>
            <w:tcW w:type="dxa" w:w="1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7A4E00"/>
                <w:sz w:val="18"/>
                <w:szCs w:val="18"/>
              </w:rPr>
              <w:t xml:space="preserve">Partial</w:t>
            </w:r>
          </w:p>
        </w:tc>
        <w:tc>
          <w:tcPr>
            <w:tcW w:type="dxa" w:w="2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222222"/>
                <w:sz w:val="18"/>
                <w:szCs w:val="18"/>
              </w:rPr>
              <w:t xml:space="preserve">Research</w:t>
            </w:r>
          </w:p>
        </w:tc>
        <w:tc>
          <w:tcPr>
            <w:tcW w:type="dxa" w:w="536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val="false"/>
                <w:bCs w:val="false"/>
                <w:color w:val="222222"/>
                <w:sz w:val="18"/>
                <w:szCs w:val="18"/>
              </w:rPr>
              <w:t xml:space="preserve">Complete research re-runs retrieval and does not store Plan. That matches the lock. The page still lives inside App.tsx, so a research change is a shell change.</w:t>
            </w:r>
          </w:p>
        </w:tc>
      </w:tr>
      <w:tr>
        <w:tc>
          <w:tcPr>
            <w:tcW w:type="dxa" w:w="1500"/>
            <w:tcBorders>
              <w:top w:val="single" w:color="CCCCCC" w:sz="4"/>
              <w:left w:val="single" w:color="CCCCCC" w:sz="4"/>
              <w:bottom w:val="single" w:color="CCCCCC" w:sz="4"/>
              <w:right w:val="single" w:color="CCCCCC" w:sz="4"/>
            </w:tcBorders>
            <w:shd w:fill="F4D6D6" w:val="clear"/>
            <w:tcMar>
              <w:top w:type="dxa" w:w="50"/>
              <w:left w:type="dxa" w:w="70"/>
              <w:bottom w:type="dxa" w:w="50"/>
              <w:right w:type="dxa" w:w="70"/>
            </w:tcMar>
          </w:tcPr>
          <w:p>
            <w:r>
              <w:rPr>
                <w:rFonts w:ascii="Arial" w:cs="Arial" w:eastAsia="Arial" w:hAnsi="Arial"/>
                <w:b/>
                <w:bCs/>
                <w:color w:val="7A1F1F"/>
                <w:sz w:val="18"/>
                <w:szCs w:val="18"/>
              </w:rPr>
              <w:t xml:space="preserve">Miss</w:t>
            </w:r>
          </w:p>
        </w:tc>
        <w:tc>
          <w:tcPr>
            <w:tcW w:type="dxa" w:w="2500"/>
            <w:tcBorders>
              <w:top w:val="single" w:color="CCCCCC" w:sz="4"/>
              <w:left w:val="single" w:color="CCCCCC" w:sz="4"/>
              <w:bottom w:val="single" w:color="CCCCCC" w:sz="4"/>
              <w:right w:val="single" w:color="CCCCCC" w:sz="4"/>
            </w:tcBorders>
            <w:shd w:fill="F4D6D6" w:val="clear"/>
            <w:tcMar>
              <w:top w:type="dxa" w:w="50"/>
              <w:left w:type="dxa" w:w="70"/>
              <w:bottom w:type="dxa" w:w="50"/>
              <w:right w:type="dxa" w:w="70"/>
            </w:tcMar>
          </w:tcPr>
          <w:p>
            <w:r>
              <w:rPr>
                <w:rFonts w:ascii="Arial" w:cs="Arial" w:eastAsia="Arial" w:hAnsi="Arial"/>
                <w:b/>
                <w:bCs/>
                <w:color w:val="222222"/>
                <w:sz w:val="18"/>
                <w:szCs w:val="18"/>
              </w:rPr>
              <w:t xml:space="preserve">Holdings TVAL</w:t>
            </w:r>
          </w:p>
        </w:tc>
        <w:tc>
          <w:tcPr>
            <w:tcW w:type="dxa" w:w="5360"/>
            <w:tcBorders>
              <w:top w:val="single" w:color="CCCCCC" w:sz="4"/>
              <w:left w:val="single" w:color="CCCCCC" w:sz="4"/>
              <w:bottom w:val="single" w:color="CCCCCC" w:sz="4"/>
              <w:right w:val="single" w:color="CCCCCC" w:sz="4"/>
            </w:tcBorders>
            <w:shd w:fill="F4D6D6" w:val="clear"/>
            <w:tcMar>
              <w:top w:type="dxa" w:w="50"/>
              <w:left w:type="dxa" w:w="70"/>
              <w:bottom w:type="dxa" w:w="50"/>
              <w:right w:type="dxa" w:w="70"/>
            </w:tcMar>
          </w:tcPr>
          <w:p>
            <w:r>
              <w:rPr>
                <w:rFonts w:ascii="Arial" w:cs="Arial" w:eastAsia="Arial" w:hAnsi="Arial"/>
                <w:b w:val="false"/>
                <w:bCs w:val="false"/>
                <w:color w:val="222222"/>
                <w:sz w:val="18"/>
                <w:szCs w:val="18"/>
              </w:rPr>
              <w:t xml:space="preserve">No Holdings score of P&amp;L% + Annual% on original cost. Calculator snapshot on this page can show the other blend. Add the locked score here or on Holdings, unknown if either input is missing.</w:t>
            </w:r>
          </w:p>
        </w:tc>
      </w:tr>
    </w:tbl>
    <w:p>
      <w:pPr>
        <w:pStyle w:val="Heading1"/>
        <w:spacing w:after="100" w:before="280"/>
      </w:pPr>
      <w:r>
        <w:rPr>
          <w:rFonts w:ascii="Arial" w:cs="Arial" w:eastAsia="Arial" w:hAnsi="Arial"/>
          <w:b/>
          <w:bCs/>
          <w:sz w:val="32"/>
          <w:szCs w:val="32"/>
        </w:rPr>
        <w:t xml:space="preserve">Holdings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Status</w:t>
            </w:r>
          </w:p>
        </w:tc>
        <w:tc>
          <w:tcPr>
            <w:tcW w:type="dxa" w:w="250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Component</w:t>
            </w:r>
          </w:p>
        </w:tc>
        <w:tc>
          <w:tcPr>
            <w:tcW w:type="dxa" w:w="536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Gap or recommendation</w:t>
            </w:r>
          </w:p>
        </w:tc>
      </w:tr>
      <w:tr>
        <w:tc>
          <w:tcPr>
            <w:tcW w:type="dxa" w:w="1500"/>
            <w:tcBorders>
              <w:top w:val="single" w:color="CCCCCC" w:sz="4"/>
              <w:left w:val="single" w:color="CCCCCC" w:sz="4"/>
              <w:bottom w:val="single" w:color="CCCCCC" w:sz="4"/>
              <w:right w:val="single" w:color="CCCCCC" w:sz="4"/>
            </w:tcBorders>
            <w:shd w:fill="E5F2E5" w:val="clear"/>
            <w:tcMar>
              <w:top w:type="dxa" w:w="50"/>
              <w:left w:type="dxa" w:w="70"/>
              <w:bottom w:type="dxa" w:w="50"/>
              <w:right w:type="dxa" w:w="70"/>
            </w:tcMar>
          </w:tcPr>
          <w:p>
            <w:r>
              <w:rPr>
                <w:rFonts w:ascii="Arial" w:cs="Arial" w:eastAsia="Arial" w:hAnsi="Arial"/>
                <w:b/>
                <w:bCs/>
                <w:color w:val="1E4D1E"/>
                <w:sz w:val="18"/>
                <w:szCs w:val="18"/>
              </w:rPr>
              <w:t xml:space="preserve">OK</w:t>
            </w:r>
          </w:p>
        </w:tc>
        <w:tc>
          <w:tcPr>
            <w:tcW w:type="dxa" w:w="2500"/>
            <w:tcBorders>
              <w:top w:val="single" w:color="CCCCCC" w:sz="4"/>
              <w:left w:val="single" w:color="CCCCCC" w:sz="4"/>
              <w:bottom w:val="single" w:color="CCCCCC" w:sz="4"/>
              <w:right w:val="single" w:color="CCCCCC" w:sz="4"/>
            </w:tcBorders>
            <w:shd w:fill="E5F2E5" w:val="clear"/>
            <w:tcMar>
              <w:top w:type="dxa" w:w="50"/>
              <w:left w:type="dxa" w:w="70"/>
              <w:bottom w:type="dxa" w:w="50"/>
              <w:right w:type="dxa" w:w="70"/>
            </w:tcMar>
          </w:tcPr>
          <w:p>
            <w:r>
              <w:rPr>
                <w:rFonts w:ascii="Arial" w:cs="Arial" w:eastAsia="Arial" w:hAnsi="Arial"/>
                <w:b/>
                <w:bCs/>
                <w:color w:val="222222"/>
                <w:sz w:val="18"/>
                <w:szCs w:val="18"/>
              </w:rPr>
              <w:t xml:space="preserve">Open lots</w:t>
            </w:r>
          </w:p>
        </w:tc>
        <w:tc>
          <w:tcPr>
            <w:tcW w:type="dxa" w:w="5360"/>
            <w:tcBorders>
              <w:top w:val="single" w:color="CCCCCC" w:sz="4"/>
              <w:left w:val="single" w:color="CCCCCC" w:sz="4"/>
              <w:bottom w:val="single" w:color="CCCCCC" w:sz="4"/>
              <w:right w:val="single" w:color="CCCCCC" w:sz="4"/>
            </w:tcBorders>
            <w:shd w:fill="E5F2E5" w:val="clear"/>
            <w:tcMar>
              <w:top w:type="dxa" w:w="50"/>
              <w:left w:type="dxa" w:w="70"/>
              <w:bottom w:type="dxa" w:w="50"/>
              <w:right w:type="dxa" w:w="70"/>
            </w:tcMar>
          </w:tcPr>
          <w:p>
            <w:r>
              <w:rPr>
                <w:rFonts w:ascii="Arial" w:cs="Arial" w:eastAsia="Arial" w:hAnsi="Arial"/>
                <w:b w:val="false"/>
                <w:bCs w:val="false"/>
                <w:color w:val="222222"/>
                <w:sz w:val="18"/>
                <w:szCs w:val="18"/>
              </w:rPr>
              <w:t xml:space="preserve">Screen says open lots, owner assigns, no FIFO. LotCostTable shows remaining performance and tax basis. CRF zero-cost is a column on the lot detail.</w:t>
            </w:r>
          </w:p>
        </w:tc>
      </w:tr>
      <w:tr>
        <w:tc>
          <w:tcPr>
            <w:tcW w:type="dxa" w:w="1500"/>
            <w:tcBorders>
              <w:top w:val="single" w:color="CCCCCC" w:sz="4"/>
              <w:left w:val="single" w:color="CCCCCC" w:sz="4"/>
              <w:bottom w:val="single" w:color="CCCCCC" w:sz="4"/>
              <w:right w:val="single" w:color="CCCCCC" w:sz="4"/>
            </w:tcBorders>
            <w:shd w:fill="F4D6D6" w:val="clear"/>
            <w:tcMar>
              <w:top w:type="dxa" w:w="50"/>
              <w:left w:type="dxa" w:w="70"/>
              <w:bottom w:type="dxa" w:w="50"/>
              <w:right w:type="dxa" w:w="70"/>
            </w:tcMar>
          </w:tcPr>
          <w:p>
            <w:r>
              <w:rPr>
                <w:rFonts w:ascii="Arial" w:cs="Arial" w:eastAsia="Arial" w:hAnsi="Arial"/>
                <w:b/>
                <w:bCs/>
                <w:color w:val="7A1F1F"/>
                <w:sz w:val="18"/>
                <w:szCs w:val="18"/>
              </w:rPr>
              <w:t xml:space="preserve">Miss</w:t>
            </w:r>
          </w:p>
        </w:tc>
        <w:tc>
          <w:tcPr>
            <w:tcW w:type="dxa" w:w="2500"/>
            <w:tcBorders>
              <w:top w:val="single" w:color="CCCCCC" w:sz="4"/>
              <w:left w:val="single" w:color="CCCCCC" w:sz="4"/>
              <w:bottom w:val="single" w:color="CCCCCC" w:sz="4"/>
              <w:right w:val="single" w:color="CCCCCC" w:sz="4"/>
            </w:tcBorders>
            <w:shd w:fill="F4D6D6" w:val="clear"/>
            <w:tcMar>
              <w:top w:type="dxa" w:w="50"/>
              <w:left w:type="dxa" w:w="70"/>
              <w:bottom w:type="dxa" w:w="50"/>
              <w:right w:type="dxa" w:w="70"/>
            </w:tcMar>
          </w:tcPr>
          <w:p>
            <w:r>
              <w:rPr>
                <w:rFonts w:ascii="Arial" w:cs="Arial" w:eastAsia="Arial" w:hAnsi="Arial"/>
                <w:b/>
                <w:bCs/>
                <w:color w:val="222222"/>
                <w:sz w:val="18"/>
                <w:szCs w:val="18"/>
              </w:rPr>
              <w:t xml:space="preserve">TVAL / YOC</w:t>
            </w:r>
          </w:p>
        </w:tc>
        <w:tc>
          <w:tcPr>
            <w:tcW w:type="dxa" w:w="5360"/>
            <w:tcBorders>
              <w:top w:val="single" w:color="CCCCCC" w:sz="4"/>
              <w:left w:val="single" w:color="CCCCCC" w:sz="4"/>
              <w:bottom w:val="single" w:color="CCCCCC" w:sz="4"/>
              <w:right w:val="single" w:color="CCCCCC" w:sz="4"/>
            </w:tcBorders>
            <w:shd w:fill="F4D6D6" w:val="clear"/>
            <w:tcMar>
              <w:top w:type="dxa" w:w="50"/>
              <w:left w:type="dxa" w:w="70"/>
              <w:bottom w:type="dxa" w:w="50"/>
              <w:right w:type="dxa" w:w="70"/>
            </w:tcMar>
          </w:tcPr>
          <w:p>
            <w:r>
              <w:rPr>
                <w:rFonts w:ascii="Arial" w:cs="Arial" w:eastAsia="Arial" w:hAnsi="Arial"/>
                <w:b w:val="false"/>
                <w:bCs w:val="false"/>
                <w:color w:val="222222"/>
                <w:sz w:val="18"/>
                <w:szCs w:val="18"/>
              </w:rPr>
              <w:t xml:space="preserve">HoldingsPanel is qty, cost, tax, market value. Locked Holdings TVAL and YOC-on-original-cost are not columns. Add them, or stop calling this the Holdings replacement for the spreadsheet tab.</w:t>
            </w:r>
          </w:p>
        </w:tc>
      </w:tr>
      <w:tr>
        <w:tc>
          <w:tcPr>
            <w:tcW w:type="dxa" w:w="1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7A4E00"/>
                <w:sz w:val="18"/>
                <w:szCs w:val="18"/>
              </w:rPr>
              <w:t xml:space="preserve">Partial</w:t>
            </w:r>
          </w:p>
        </w:tc>
        <w:tc>
          <w:tcPr>
            <w:tcW w:type="dxa" w:w="2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222222"/>
                <w:sz w:val="18"/>
                <w:szCs w:val="18"/>
              </w:rPr>
              <w:t xml:space="preserve">Unassigned sells</w:t>
            </w:r>
          </w:p>
        </w:tc>
        <w:tc>
          <w:tcPr>
            <w:tcW w:type="dxa" w:w="536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val="false"/>
                <w:bCs w:val="false"/>
                <w:color w:val="222222"/>
                <w:sz w:val="18"/>
                <w:szCs w:val="18"/>
              </w:rPr>
              <w:t xml:space="preserve">Leftover posted sells can be assigned. Cart Confirm is the intended path. Lowest-cost propose is in lot.rs. Broker lot still has to finalize the sale. Do not auto-pick.</w:t>
            </w:r>
          </w:p>
        </w:tc>
      </w:tr>
      <w:tr>
        <w:tc>
          <w:tcPr>
            <w:tcW w:type="dxa" w:w="1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7A4E00"/>
                <w:sz w:val="18"/>
                <w:szCs w:val="18"/>
              </w:rPr>
              <w:t xml:space="preserve">Partial</w:t>
            </w:r>
          </w:p>
        </w:tc>
        <w:tc>
          <w:tcPr>
            <w:tcW w:type="dxa" w:w="2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222222"/>
                <w:sz w:val="18"/>
                <w:szCs w:val="18"/>
              </w:rPr>
              <w:t xml:space="preserve">Closed lots</w:t>
            </w:r>
          </w:p>
        </w:tc>
        <w:tc>
          <w:tcPr>
            <w:tcW w:type="dxa" w:w="536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val="false"/>
                <w:bCs w:val="false"/>
                <w:color w:val="222222"/>
                <w:sz w:val="18"/>
                <w:szCs w:val="18"/>
              </w:rPr>
              <w:t xml:space="preserve">Open lots only. Closed history is not on this page. That matches the working-foundation filter. A link to closed lots is still missing if a sale has to be audited.</w:t>
            </w:r>
          </w:p>
        </w:tc>
      </w:tr>
    </w:tbl>
    <w:p>
      <w:pPr>
        <w:pStyle w:val="Heading1"/>
        <w:spacing w:after="100" w:before="280"/>
      </w:pPr>
      <w:r>
        <w:rPr>
          <w:rFonts w:ascii="Arial" w:cs="Arial" w:eastAsia="Arial" w:hAnsi="Arial"/>
          <w:b/>
          <w:bCs/>
          <w:sz w:val="32"/>
          <w:szCs w:val="32"/>
        </w:rPr>
        <w:t xml:space="preserve">Add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Status</w:t>
            </w:r>
          </w:p>
        </w:tc>
        <w:tc>
          <w:tcPr>
            <w:tcW w:type="dxa" w:w="250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Component</w:t>
            </w:r>
          </w:p>
        </w:tc>
        <w:tc>
          <w:tcPr>
            <w:tcW w:type="dxa" w:w="536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Gap or recommendation</w:t>
            </w:r>
          </w:p>
        </w:tc>
      </w:tr>
      <w:tr>
        <w:tc>
          <w:tcPr>
            <w:tcW w:type="dxa" w:w="1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7A4E00"/>
                <w:sz w:val="18"/>
                <w:szCs w:val="18"/>
              </w:rPr>
              <w:t xml:space="preserve">Partial</w:t>
            </w:r>
          </w:p>
        </w:tc>
        <w:tc>
          <w:tcPr>
            <w:tcW w:type="dxa" w:w="2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222222"/>
                <w:sz w:val="18"/>
                <w:szCs w:val="18"/>
              </w:rPr>
              <w:t xml:space="preserve">Process A</w:t>
            </w:r>
          </w:p>
        </w:tc>
        <w:tc>
          <w:tcPr>
            <w:tcW w:type="dxa" w:w="536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val="false"/>
                <w:bCs w:val="false"/>
                <w:color w:val="222222"/>
                <w:sz w:val="18"/>
                <w:szCs w:val="18"/>
              </w:rPr>
              <w:t xml:space="preserve">Copy says symbol + distribution URL, lots optional after research. Completion panel separates research, Plan, and open lot. That matches the 29 Aug lock.</w:t>
            </w:r>
          </w:p>
        </w:tc>
      </w:tr>
      <w:tr>
        <w:tc>
          <w:tcPr>
            <w:tcW w:type="dxa" w:w="1500"/>
            <w:tcBorders>
              <w:top w:val="single" w:color="CCCCCC" w:sz="4"/>
              <w:left w:val="single" w:color="CCCCCC" w:sz="4"/>
              <w:bottom w:val="single" w:color="CCCCCC" w:sz="4"/>
              <w:right w:val="single" w:color="CCCCCC" w:sz="4"/>
            </w:tcBorders>
            <w:shd w:fill="F4D6D6" w:val="clear"/>
            <w:tcMar>
              <w:top w:type="dxa" w:w="50"/>
              <w:left w:type="dxa" w:w="70"/>
              <w:bottom w:type="dxa" w:w="50"/>
              <w:right w:type="dxa" w:w="70"/>
            </w:tcMar>
          </w:tcPr>
          <w:p>
            <w:r>
              <w:rPr>
                <w:rFonts w:ascii="Arial" w:cs="Arial" w:eastAsia="Arial" w:hAnsi="Arial"/>
                <w:b/>
                <w:bCs/>
                <w:color w:val="7A1F1F"/>
                <w:sz w:val="18"/>
                <w:szCs w:val="18"/>
              </w:rPr>
              <w:t xml:space="preserve">Miss</w:t>
            </w:r>
          </w:p>
        </w:tc>
        <w:tc>
          <w:tcPr>
            <w:tcW w:type="dxa" w:w="2500"/>
            <w:tcBorders>
              <w:top w:val="single" w:color="CCCCCC" w:sz="4"/>
              <w:left w:val="single" w:color="CCCCCC" w:sz="4"/>
              <w:bottom w:val="single" w:color="CCCCCC" w:sz="4"/>
              <w:right w:val="single" w:color="CCCCCC" w:sz="4"/>
            </w:tcBorders>
            <w:shd w:fill="F4D6D6" w:val="clear"/>
            <w:tcMar>
              <w:top w:type="dxa" w:w="50"/>
              <w:left w:type="dxa" w:w="70"/>
              <w:bottom w:type="dxa" w:w="50"/>
              <w:right w:type="dxa" w:w="70"/>
            </w:tcMar>
          </w:tcPr>
          <w:p>
            <w:r>
              <w:rPr>
                <w:rFonts w:ascii="Arial" w:cs="Arial" w:eastAsia="Arial" w:hAnsi="Arial"/>
                <w:b/>
                <w:bCs/>
                <w:color w:val="222222"/>
                <w:sz w:val="18"/>
                <w:szCs w:val="18"/>
              </w:rPr>
              <w:t xml:space="preserve">Wizard residue</w:t>
            </w:r>
          </w:p>
        </w:tc>
        <w:tc>
          <w:tcPr>
            <w:tcW w:type="dxa" w:w="5360"/>
            <w:tcBorders>
              <w:top w:val="single" w:color="CCCCCC" w:sz="4"/>
              <w:left w:val="single" w:color="CCCCCC" w:sz="4"/>
              <w:bottom w:val="single" w:color="CCCCCC" w:sz="4"/>
              <w:right w:val="single" w:color="CCCCCC" w:sz="4"/>
            </w:tcBorders>
            <w:shd w:fill="F4D6D6" w:val="clear"/>
            <w:tcMar>
              <w:top w:type="dxa" w:w="50"/>
              <w:left w:type="dxa" w:w="70"/>
              <w:bottom w:type="dxa" w:w="50"/>
              <w:right w:type="dxa" w:w="70"/>
            </w:tcMar>
          </w:tcPr>
          <w:p>
            <w:r>
              <w:rPr>
                <w:rFonts w:ascii="Arial" w:cs="Arial" w:eastAsia="Arial" w:hAnsi="Arial"/>
                <w:b w:val="false"/>
                <w:bCs w:val="false"/>
                <w:color w:val="222222"/>
                <w:sz w:val="18"/>
                <w:szCs w:val="18"/>
              </w:rPr>
              <w:t xml:space="preserve">App.tsx still calls setWizStep(6), setWizStep(8), and setWizStep(9). The rejected 9-step wizard was not removed. Delete the step machine so a future edit cannot reopen it.</w:t>
            </w:r>
          </w:p>
        </w:tc>
      </w:tr>
      <w:tr>
        <w:tc>
          <w:tcPr>
            <w:tcW w:type="dxa" w:w="1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7A4E00"/>
                <w:sz w:val="18"/>
                <w:szCs w:val="18"/>
              </w:rPr>
              <w:t xml:space="preserve">Partial</w:t>
            </w:r>
          </w:p>
        </w:tc>
        <w:tc>
          <w:tcPr>
            <w:tcW w:type="dxa" w:w="2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222222"/>
                <w:sz w:val="18"/>
                <w:szCs w:val="18"/>
              </w:rPr>
              <w:t xml:space="preserve">Second URL</w:t>
            </w:r>
          </w:p>
        </w:tc>
        <w:tc>
          <w:tcPr>
            <w:tcW w:type="dxa" w:w="536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val="false"/>
                <w:bCs w:val="false"/>
                <w:color w:val="222222"/>
                <w:sz w:val="18"/>
                <w:szCs w:val="18"/>
              </w:rPr>
              <w:t xml:space="preserve">Second distribution URL section exists. A miss parks a manual adapter. Keep the miss as a ticket. Do not write $0.</w:t>
            </w:r>
          </w:p>
        </w:tc>
      </w:tr>
    </w:tbl>
    <w:p>
      <w:pPr>
        <w:pStyle w:val="Heading1"/>
        <w:spacing w:after="100" w:before="280"/>
      </w:pPr>
      <w:r>
        <w:rPr>
          <w:rFonts w:ascii="Arial" w:cs="Arial" w:eastAsia="Arial" w:hAnsi="Arial"/>
          <w:b/>
          <w:bCs/>
          <w:sz w:val="32"/>
          <w:szCs w:val="32"/>
        </w:rPr>
        <w:t xml:space="preserve">Add 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Status</w:t>
            </w:r>
          </w:p>
        </w:tc>
        <w:tc>
          <w:tcPr>
            <w:tcW w:type="dxa" w:w="250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Component</w:t>
            </w:r>
          </w:p>
        </w:tc>
        <w:tc>
          <w:tcPr>
            <w:tcW w:type="dxa" w:w="536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Gap or recommendation</w:t>
            </w:r>
          </w:p>
        </w:tc>
      </w:tr>
      <w:tr>
        <w:tc>
          <w:tcPr>
            <w:tcW w:type="dxa" w:w="1500"/>
            <w:tcBorders>
              <w:top w:val="single" w:color="CCCCCC" w:sz="4"/>
              <w:left w:val="single" w:color="CCCCCC" w:sz="4"/>
              <w:bottom w:val="single" w:color="CCCCCC" w:sz="4"/>
              <w:right w:val="single" w:color="CCCCCC" w:sz="4"/>
            </w:tcBorders>
            <w:shd w:fill="E5F2E5" w:val="clear"/>
            <w:tcMar>
              <w:top w:type="dxa" w:w="50"/>
              <w:left w:type="dxa" w:w="70"/>
              <w:bottom w:type="dxa" w:w="50"/>
              <w:right w:type="dxa" w:w="70"/>
            </w:tcMar>
          </w:tcPr>
          <w:p>
            <w:r>
              <w:rPr>
                <w:rFonts w:ascii="Arial" w:cs="Arial" w:eastAsia="Arial" w:hAnsi="Arial"/>
                <w:b/>
                <w:bCs/>
                <w:color w:val="1E4D1E"/>
                <w:sz w:val="18"/>
                <w:szCs w:val="18"/>
              </w:rPr>
              <w:t xml:space="preserve">OK</w:t>
            </w:r>
          </w:p>
        </w:tc>
        <w:tc>
          <w:tcPr>
            <w:tcW w:type="dxa" w:w="2500"/>
            <w:tcBorders>
              <w:top w:val="single" w:color="CCCCCC" w:sz="4"/>
              <w:left w:val="single" w:color="CCCCCC" w:sz="4"/>
              <w:bottom w:val="single" w:color="CCCCCC" w:sz="4"/>
              <w:right w:val="single" w:color="CCCCCC" w:sz="4"/>
            </w:tcBorders>
            <w:shd w:fill="E5F2E5" w:val="clear"/>
            <w:tcMar>
              <w:top w:type="dxa" w:w="50"/>
              <w:left w:type="dxa" w:w="70"/>
              <w:bottom w:type="dxa" w:w="50"/>
              <w:right w:type="dxa" w:w="70"/>
            </w:tcMar>
          </w:tcPr>
          <w:p>
            <w:r>
              <w:rPr>
                <w:rFonts w:ascii="Arial" w:cs="Arial" w:eastAsia="Arial" w:hAnsi="Arial"/>
                <w:b/>
                <w:bCs/>
                <w:color w:val="222222"/>
                <w:sz w:val="18"/>
                <w:szCs w:val="18"/>
              </w:rPr>
              <w:t xml:space="preserve">Gate</w:t>
            </w:r>
          </w:p>
        </w:tc>
        <w:tc>
          <w:tcPr>
            <w:tcW w:type="dxa" w:w="5360"/>
            <w:tcBorders>
              <w:top w:val="single" w:color="CCCCCC" w:sz="4"/>
              <w:left w:val="single" w:color="CCCCCC" w:sz="4"/>
              <w:bottom w:val="single" w:color="CCCCCC" w:sz="4"/>
              <w:right w:val="single" w:color="CCCCCC" w:sz="4"/>
            </w:tcBorders>
            <w:shd w:fill="E5F2E5" w:val="clear"/>
            <w:tcMar>
              <w:top w:type="dxa" w:w="50"/>
              <w:left w:type="dxa" w:w="70"/>
              <w:bottom w:type="dxa" w:w="50"/>
              <w:right w:type="dxa" w:w="70"/>
            </w:tcMar>
          </w:tcPr>
          <w:p>
            <w:r>
              <w:rPr>
                <w:rFonts w:ascii="Arial" w:cs="Arial" w:eastAsia="Arial" w:hAnsi="Arial"/>
                <w:b w:val="false"/>
                <w:bCs w:val="false"/>
                <w:color w:val="222222"/>
                <w:sz w:val="18"/>
                <w:szCs w:val="18"/>
              </w:rPr>
              <w:t xml:space="preserve">Lot open is refused until collector research is complete. Message points back to Establish. Matches collector-before-lots.</w:t>
            </w:r>
          </w:p>
        </w:tc>
      </w:tr>
      <w:tr>
        <w:tc>
          <w:tcPr>
            <w:tcW w:type="dxa" w:w="1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7A4E00"/>
                <w:sz w:val="18"/>
                <w:szCs w:val="18"/>
              </w:rPr>
              <w:t xml:space="preserve">Partial</w:t>
            </w:r>
          </w:p>
        </w:tc>
        <w:tc>
          <w:tcPr>
            <w:tcW w:type="dxa" w:w="2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222222"/>
                <w:sz w:val="18"/>
                <w:szCs w:val="18"/>
              </w:rPr>
              <w:t xml:space="preserve">Dual cost</w:t>
            </w:r>
          </w:p>
        </w:tc>
        <w:tc>
          <w:tcPr>
            <w:tcW w:type="dxa" w:w="536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val="false"/>
                <w:bCs w:val="false"/>
                <w:color w:val="222222"/>
                <w:sz w:val="18"/>
                <w:szCs w:val="18"/>
              </w:rPr>
              <w:t xml:space="preserve">Performance and tax basis exist on the lot. The screen should require both on a Car buy and copy performance into tax only when the owner says they are equal. Do not default tax to 0.</w:t>
            </w:r>
          </w:p>
        </w:tc>
      </w:tr>
      <w:tr>
        <w:tc>
          <w:tcPr>
            <w:tcW w:type="dxa" w:w="1500"/>
            <w:tcBorders>
              <w:top w:val="single" w:color="CCCCCC" w:sz="4"/>
              <w:left w:val="single" w:color="CCCCCC" w:sz="4"/>
              <w:bottom w:val="single" w:color="CCCCCC" w:sz="4"/>
              <w:right w:val="single" w:color="CCCCCC" w:sz="4"/>
            </w:tcBorders>
            <w:shd w:fill="E5F2E5" w:val="clear"/>
            <w:tcMar>
              <w:top w:type="dxa" w:w="50"/>
              <w:left w:type="dxa" w:w="70"/>
              <w:bottom w:type="dxa" w:w="50"/>
              <w:right w:type="dxa" w:w="70"/>
            </w:tcMar>
          </w:tcPr>
          <w:p>
            <w:r>
              <w:rPr>
                <w:rFonts w:ascii="Arial" w:cs="Arial" w:eastAsia="Arial" w:hAnsi="Arial"/>
                <w:b/>
                <w:bCs/>
                <w:color w:val="1E4D1E"/>
                <w:sz w:val="18"/>
                <w:szCs w:val="18"/>
              </w:rPr>
              <w:t xml:space="preserve">OK</w:t>
            </w:r>
          </w:p>
        </w:tc>
        <w:tc>
          <w:tcPr>
            <w:tcW w:type="dxa" w:w="2500"/>
            <w:tcBorders>
              <w:top w:val="single" w:color="CCCCCC" w:sz="4"/>
              <w:left w:val="single" w:color="CCCCCC" w:sz="4"/>
              <w:bottom w:val="single" w:color="CCCCCC" w:sz="4"/>
              <w:right w:val="single" w:color="CCCCCC" w:sz="4"/>
            </w:tcBorders>
            <w:shd w:fill="E5F2E5" w:val="clear"/>
            <w:tcMar>
              <w:top w:type="dxa" w:w="50"/>
              <w:left w:type="dxa" w:w="70"/>
              <w:bottom w:type="dxa" w:w="50"/>
              <w:right w:type="dxa" w:w="70"/>
            </w:tcMar>
          </w:tcPr>
          <w:p>
            <w:r>
              <w:rPr>
                <w:rFonts w:ascii="Arial" w:cs="Arial" w:eastAsia="Arial" w:hAnsi="Arial"/>
                <w:b/>
                <w:bCs/>
                <w:color w:val="222222"/>
                <w:sz w:val="18"/>
                <w:szCs w:val="18"/>
              </w:rPr>
              <w:t xml:space="preserve">CRF DRIP</w:t>
            </w:r>
          </w:p>
        </w:tc>
        <w:tc>
          <w:tcPr>
            <w:tcW w:type="dxa" w:w="5360"/>
            <w:tcBorders>
              <w:top w:val="single" w:color="CCCCCC" w:sz="4"/>
              <w:left w:val="single" w:color="CCCCCC" w:sz="4"/>
              <w:bottom w:val="single" w:color="CCCCCC" w:sz="4"/>
              <w:right w:val="single" w:color="CCCCCC" w:sz="4"/>
            </w:tcBorders>
            <w:shd w:fill="E5F2E5" w:val="clear"/>
            <w:tcMar>
              <w:top w:type="dxa" w:w="50"/>
              <w:left w:type="dxa" w:w="70"/>
              <w:bottom w:type="dxa" w:w="50"/>
              <w:right w:type="dxa" w:w="70"/>
            </w:tcMar>
          </w:tcPr>
          <w:p>
            <w:r>
              <w:rPr>
                <w:rFonts w:ascii="Arial" w:cs="Arial" w:eastAsia="Arial" w:hAnsi="Arial"/>
                <w:b w:val="false"/>
                <w:bCs w:val="false"/>
                <w:color w:val="222222"/>
                <w:sz w:val="18"/>
                <w:szCs w:val="18"/>
              </w:rPr>
              <w:t xml:space="preserve">Zero-cost allowed only when the security is CRF. Auto capture comment limits it to FI Roth.</w:t>
            </w:r>
          </w:p>
        </w:tc>
      </w:tr>
    </w:tbl>
    <w:p>
      <w:pPr>
        <w:pStyle w:val="Heading1"/>
        <w:spacing w:after="100" w:before="280"/>
      </w:pPr>
      <w:r>
        <w:rPr>
          <w:rFonts w:ascii="Arial" w:cs="Arial" w:eastAsia="Arial" w:hAnsi="Arial"/>
          <w:b/>
          <w:bCs/>
          <w:sz w:val="32"/>
          <w:szCs w:val="32"/>
        </w:rPr>
        <w:t xml:space="preserve">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Status</w:t>
            </w:r>
          </w:p>
        </w:tc>
        <w:tc>
          <w:tcPr>
            <w:tcW w:type="dxa" w:w="250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Component</w:t>
            </w:r>
          </w:p>
        </w:tc>
        <w:tc>
          <w:tcPr>
            <w:tcW w:type="dxa" w:w="536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Gap or recommendation</w:t>
            </w:r>
          </w:p>
        </w:tc>
      </w:tr>
      <w:tr>
        <w:tc>
          <w:tcPr>
            <w:tcW w:type="dxa" w:w="1500"/>
            <w:tcBorders>
              <w:top w:val="single" w:color="CCCCCC" w:sz="4"/>
              <w:left w:val="single" w:color="CCCCCC" w:sz="4"/>
              <w:bottom w:val="single" w:color="CCCCCC" w:sz="4"/>
              <w:right w:val="single" w:color="CCCCCC" w:sz="4"/>
            </w:tcBorders>
            <w:shd w:fill="F4D6D6" w:val="clear"/>
            <w:tcMar>
              <w:top w:type="dxa" w:w="50"/>
              <w:left w:type="dxa" w:w="70"/>
              <w:bottom w:type="dxa" w:w="50"/>
              <w:right w:type="dxa" w:w="70"/>
            </w:tcMar>
          </w:tcPr>
          <w:p>
            <w:r>
              <w:rPr>
                <w:rFonts w:ascii="Arial" w:cs="Arial" w:eastAsia="Arial" w:hAnsi="Arial"/>
                <w:b/>
                <w:bCs/>
                <w:color w:val="7A1F1F"/>
                <w:sz w:val="18"/>
                <w:szCs w:val="18"/>
              </w:rPr>
              <w:t xml:space="preserve">Miss</w:t>
            </w:r>
          </w:p>
        </w:tc>
        <w:tc>
          <w:tcPr>
            <w:tcW w:type="dxa" w:w="2500"/>
            <w:tcBorders>
              <w:top w:val="single" w:color="CCCCCC" w:sz="4"/>
              <w:left w:val="single" w:color="CCCCCC" w:sz="4"/>
              <w:bottom w:val="single" w:color="CCCCCC" w:sz="4"/>
              <w:right w:val="single" w:color="CCCCCC" w:sz="4"/>
            </w:tcBorders>
            <w:shd w:fill="F4D6D6" w:val="clear"/>
            <w:tcMar>
              <w:top w:type="dxa" w:w="50"/>
              <w:left w:type="dxa" w:w="70"/>
              <w:bottom w:type="dxa" w:w="50"/>
              <w:right w:type="dxa" w:w="70"/>
            </w:tcMar>
          </w:tcPr>
          <w:p>
            <w:r>
              <w:rPr>
                <w:rFonts w:ascii="Arial" w:cs="Arial" w:eastAsia="Arial" w:hAnsi="Arial"/>
                <w:b/>
                <w:bCs/>
                <w:color w:val="222222"/>
                <w:sz w:val="18"/>
                <w:szCs w:val="18"/>
              </w:rPr>
              <w:t xml:space="preserve">Account match</w:t>
            </w:r>
          </w:p>
        </w:tc>
        <w:tc>
          <w:tcPr>
            <w:tcW w:type="dxa" w:w="5360"/>
            <w:tcBorders>
              <w:top w:val="single" w:color="CCCCCC" w:sz="4"/>
              <w:left w:val="single" w:color="CCCCCC" w:sz="4"/>
              <w:bottom w:val="single" w:color="CCCCCC" w:sz="4"/>
              <w:right w:val="single" w:color="CCCCCC" w:sz="4"/>
            </w:tcBorders>
            <w:shd w:fill="F4D6D6" w:val="clear"/>
            <w:tcMar>
              <w:top w:type="dxa" w:w="50"/>
              <w:left w:type="dxa" w:w="70"/>
              <w:bottom w:type="dxa" w:w="50"/>
              <w:right w:type="dxa" w:w="70"/>
            </w:tcMar>
          </w:tcPr>
          <w:p>
            <w:r>
              <w:rPr>
                <w:rFonts w:ascii="Arial" w:cs="Arial" w:eastAsia="Arial" w:hAnsi="Arial"/>
                <w:b w:val="false"/>
                <w:bCs w:val="false"/>
                <w:color w:val="222222"/>
                <w:sz w:val="18"/>
                <w:szCs w:val="18"/>
              </w:rPr>
              <w:t xml:space="preserve">Wizard is Import then Validate. account has no broker_account_number. Fidelity Name (number) cannot match. Recommendation: add the number column and match on it before the display name.</w:t>
            </w:r>
          </w:p>
        </w:tc>
      </w:tr>
      <w:tr>
        <w:tc>
          <w:tcPr>
            <w:tcW w:type="dxa" w:w="1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7A4E00"/>
                <w:sz w:val="18"/>
                <w:szCs w:val="18"/>
              </w:rPr>
              <w:t xml:space="preserve">Partial</w:t>
            </w:r>
          </w:p>
        </w:tc>
        <w:tc>
          <w:tcPr>
            <w:tcW w:type="dxa" w:w="2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222222"/>
                <w:sz w:val="18"/>
                <w:szCs w:val="18"/>
              </w:rPr>
              <w:t xml:space="preserve">Tax character</w:t>
            </w:r>
          </w:p>
        </w:tc>
        <w:tc>
          <w:tcPr>
            <w:tcW w:type="dxa" w:w="536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val="false"/>
                <w:bCs w:val="false"/>
                <w:color w:val="222222"/>
                <w:sz w:val="18"/>
                <w:szCs w:val="18"/>
              </w:rPr>
              <w:t xml:space="preserve">Import must not ask the owner to assign ROC. Character comes from Position. Confirm the validate step does not invent ordinary vs ROC.</w:t>
            </w:r>
          </w:p>
        </w:tc>
      </w:tr>
      <w:tr>
        <w:tc>
          <w:tcPr>
            <w:tcW w:type="dxa" w:w="1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7A4E00"/>
                <w:sz w:val="18"/>
                <w:szCs w:val="18"/>
              </w:rPr>
              <w:t xml:space="preserve">Partial</w:t>
            </w:r>
          </w:p>
        </w:tc>
        <w:tc>
          <w:tcPr>
            <w:tcW w:type="dxa" w:w="2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222222"/>
                <w:sz w:val="18"/>
                <w:szCs w:val="18"/>
              </w:rPr>
              <w:t xml:space="preserve">Multi-day CSV</w:t>
            </w:r>
          </w:p>
        </w:tc>
        <w:tc>
          <w:tcPr>
            <w:tcW w:type="dxa" w:w="536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val="false"/>
                <w:bCs w:val="false"/>
                <w:color w:val="222222"/>
                <w:sz w:val="18"/>
                <w:szCs w:val="18"/>
              </w:rPr>
              <w:t xml:space="preserve">Lock allows 1–7+ days. Not re-proven in this pass. Keep one batch per file hash.</w:t>
            </w:r>
          </w:p>
        </w:tc>
      </w:tr>
    </w:tbl>
    <w:p>
      <w:pPr>
        <w:pStyle w:val="Heading1"/>
        <w:spacing w:after="100" w:before="280"/>
      </w:pPr>
      <w:r>
        <w:rPr>
          <w:rFonts w:ascii="Arial" w:cs="Arial" w:eastAsia="Arial" w:hAnsi="Arial"/>
          <w:b/>
          <w:bCs/>
          <w:sz w:val="32"/>
          <w:szCs w:val="32"/>
        </w:rPr>
        <w:t xml:space="preserve">Collectors, Tickets, Reevaluate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Status</w:t>
            </w:r>
          </w:p>
        </w:tc>
        <w:tc>
          <w:tcPr>
            <w:tcW w:type="dxa" w:w="250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Component</w:t>
            </w:r>
          </w:p>
        </w:tc>
        <w:tc>
          <w:tcPr>
            <w:tcW w:type="dxa" w:w="536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Gap or recommendation</w:t>
            </w:r>
          </w:p>
        </w:tc>
      </w:tr>
      <w:tr>
        <w:tc>
          <w:tcPr>
            <w:tcW w:type="dxa" w:w="1500"/>
            <w:tcBorders>
              <w:top w:val="single" w:color="CCCCCC" w:sz="4"/>
              <w:left w:val="single" w:color="CCCCCC" w:sz="4"/>
              <w:bottom w:val="single" w:color="CCCCCC" w:sz="4"/>
              <w:right w:val="single" w:color="CCCCCC" w:sz="4"/>
            </w:tcBorders>
            <w:shd w:fill="E5F2E5" w:val="clear"/>
            <w:tcMar>
              <w:top w:type="dxa" w:w="50"/>
              <w:left w:type="dxa" w:w="70"/>
              <w:bottom w:type="dxa" w:w="50"/>
              <w:right w:type="dxa" w:w="70"/>
            </w:tcMar>
          </w:tcPr>
          <w:p>
            <w:r>
              <w:rPr>
                <w:rFonts w:ascii="Arial" w:cs="Arial" w:eastAsia="Arial" w:hAnsi="Arial"/>
                <w:b/>
                <w:bCs/>
                <w:color w:val="1E4D1E"/>
                <w:sz w:val="18"/>
                <w:szCs w:val="18"/>
              </w:rPr>
              <w:t xml:space="preserve">OK</w:t>
            </w:r>
          </w:p>
        </w:tc>
        <w:tc>
          <w:tcPr>
            <w:tcW w:type="dxa" w:w="2500"/>
            <w:tcBorders>
              <w:top w:val="single" w:color="CCCCCC" w:sz="4"/>
              <w:left w:val="single" w:color="CCCCCC" w:sz="4"/>
              <w:bottom w:val="single" w:color="CCCCCC" w:sz="4"/>
              <w:right w:val="single" w:color="CCCCCC" w:sz="4"/>
            </w:tcBorders>
            <w:shd w:fill="E5F2E5" w:val="clear"/>
            <w:tcMar>
              <w:top w:type="dxa" w:w="50"/>
              <w:left w:type="dxa" w:w="70"/>
              <w:bottom w:type="dxa" w:w="50"/>
              <w:right w:type="dxa" w:w="70"/>
            </w:tcMar>
          </w:tcPr>
          <w:p>
            <w:r>
              <w:rPr>
                <w:rFonts w:ascii="Arial" w:cs="Arial" w:eastAsia="Arial" w:hAnsi="Arial"/>
                <w:b/>
                <w:bCs/>
                <w:color w:val="222222"/>
                <w:sz w:val="18"/>
                <w:szCs w:val="18"/>
              </w:rPr>
              <w:t xml:space="preserve">Complete rule</w:t>
            </w:r>
          </w:p>
        </w:tc>
        <w:tc>
          <w:tcPr>
            <w:tcW w:type="dxa" w:w="5360"/>
            <w:tcBorders>
              <w:top w:val="single" w:color="CCCCCC" w:sz="4"/>
              <w:left w:val="single" w:color="CCCCCC" w:sz="4"/>
              <w:bottom w:val="single" w:color="CCCCCC" w:sz="4"/>
              <w:right w:val="single" w:color="CCCCCC" w:sz="4"/>
            </w:tcBorders>
            <w:shd w:fill="E5F2E5" w:val="clear"/>
            <w:tcMar>
              <w:top w:type="dxa" w:w="50"/>
              <w:left w:type="dxa" w:w="70"/>
              <w:bottom w:type="dxa" w:w="50"/>
              <w:right w:type="dxa" w:w="70"/>
            </w:tcMar>
          </w:tcPr>
          <w:p>
            <w:r>
              <w:rPr>
                <w:rFonts w:ascii="Arial" w:cs="Arial" w:eastAsia="Arial" w:hAnsi="Arial"/>
                <w:b w:val="false"/>
                <w:bCs w:val="false"/>
                <w:color w:val="222222"/>
                <w:sz w:val="18"/>
                <w:szCs w:val="18"/>
              </w:rPr>
              <w:t xml:space="preserve">collector_status comment says complete is not last_run_ok alone. A failed run stays a gap. ROC miss must not fail the declaration run.</w:t>
            </w:r>
          </w:p>
        </w:tc>
      </w:tr>
      <w:tr>
        <w:tc>
          <w:tcPr>
            <w:tcW w:type="dxa" w:w="1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7A4E00"/>
                <w:sz w:val="18"/>
                <w:szCs w:val="18"/>
              </w:rPr>
              <w:t xml:space="preserve">Partial</w:t>
            </w:r>
          </w:p>
        </w:tc>
        <w:tc>
          <w:tcPr>
            <w:tcW w:type="dxa" w:w="2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222222"/>
                <w:sz w:val="18"/>
                <w:szCs w:val="18"/>
              </w:rPr>
              <w:t xml:space="preserve">Banned hosts</w:t>
            </w:r>
          </w:p>
        </w:tc>
        <w:tc>
          <w:tcPr>
            <w:tcW w:type="dxa" w:w="536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val="false"/>
                <w:bCs w:val="false"/>
                <w:color w:val="222222"/>
                <w:sz w:val="18"/>
                <w:szCs w:val="18"/>
              </w:rPr>
              <w:t xml:space="preserve">dividendinvestor dispatch returns an empty list. The module is still compiled. nasdaq adapter file is still in the tree. Delete or keep behind a comment that says banned.</w:t>
            </w:r>
          </w:p>
        </w:tc>
      </w:tr>
      <w:tr>
        <w:tc>
          <w:tcPr>
            <w:tcW w:type="dxa" w:w="1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7A4E00"/>
                <w:sz w:val="18"/>
                <w:szCs w:val="18"/>
              </w:rPr>
              <w:t xml:space="preserve">Partial</w:t>
            </w:r>
          </w:p>
        </w:tc>
        <w:tc>
          <w:tcPr>
            <w:tcW w:type="dxa" w:w="2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222222"/>
                <w:sz w:val="18"/>
                <w:szCs w:val="18"/>
              </w:rPr>
              <w:t xml:space="preserve">ET / MSTU</w:t>
            </w:r>
          </w:p>
        </w:tc>
        <w:tc>
          <w:tcPr>
            <w:tcW w:type="dxa" w:w="536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val="false"/>
                <w:bCs w:val="false"/>
                <w:color w:val="222222"/>
                <w:sz w:val="18"/>
                <w:szCs w:val="18"/>
              </w:rPr>
              <w:t xml:space="preserve">ET parser is wired as energytransfer / mlp_sec_8k. Live last_run is not in this pack. Do not mark ET green until the stored URL is the SEC path and last_run_ok is 1.</w:t>
            </w:r>
          </w:p>
        </w:tc>
      </w:tr>
      <w:tr>
        <w:tc>
          <w:tcPr>
            <w:tcW w:type="dxa" w:w="1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7A4E00"/>
                <w:sz w:val="18"/>
                <w:szCs w:val="18"/>
              </w:rPr>
              <w:t xml:space="preserve">Partial</w:t>
            </w:r>
          </w:p>
        </w:tc>
        <w:tc>
          <w:tcPr>
            <w:tcW w:type="dxa" w:w="2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222222"/>
                <w:sz w:val="18"/>
                <w:szCs w:val="18"/>
              </w:rPr>
              <w:t xml:space="preserve">Fleet list</w:t>
            </w:r>
          </w:p>
        </w:tc>
        <w:tc>
          <w:tcPr>
            <w:tcW w:type="dxa" w:w="536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val="false"/>
                <w:bCs w:val="false"/>
                <w:color w:val="222222"/>
                <w:sz w:val="18"/>
                <w:szCs w:val="18"/>
              </w:rPr>
              <w:t xml:space="preserve">INCOME_FLEET_SYMBOLS still hardcodes the household book. Establish should follow the stored Template Dividend URL, not this list.</w:t>
            </w:r>
          </w:p>
        </w:tc>
      </w:tr>
    </w:tbl>
    <w:p>
      <w:pPr>
        <w:pStyle w:val="Heading1"/>
        <w:spacing w:after="100" w:before="280"/>
      </w:pPr>
      <w:r>
        <w:rPr>
          <w:rFonts w:ascii="Arial" w:cs="Arial" w:eastAsia="Arial" w:hAnsi="Arial"/>
          <w:b/>
          <w:bCs/>
          <w:sz w:val="32"/>
          <w:szCs w:val="32"/>
        </w:rPr>
        <w:t xml:space="preserve">Trends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Status</w:t>
            </w:r>
          </w:p>
        </w:tc>
        <w:tc>
          <w:tcPr>
            <w:tcW w:type="dxa" w:w="250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Component</w:t>
            </w:r>
          </w:p>
        </w:tc>
        <w:tc>
          <w:tcPr>
            <w:tcW w:type="dxa" w:w="536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Gap or recommendation</w:t>
            </w:r>
          </w:p>
        </w:tc>
      </w:tr>
      <w:tr>
        <w:tc>
          <w:tcPr>
            <w:tcW w:type="dxa" w:w="1500"/>
            <w:tcBorders>
              <w:top w:val="single" w:color="CCCCCC" w:sz="4"/>
              <w:left w:val="single" w:color="CCCCCC" w:sz="4"/>
              <w:bottom w:val="single" w:color="CCCCCC" w:sz="4"/>
              <w:right w:val="single" w:color="CCCCCC" w:sz="4"/>
            </w:tcBorders>
            <w:shd w:fill="E5F2E5" w:val="clear"/>
            <w:tcMar>
              <w:top w:type="dxa" w:w="50"/>
              <w:left w:type="dxa" w:w="70"/>
              <w:bottom w:type="dxa" w:w="50"/>
              <w:right w:type="dxa" w:w="70"/>
            </w:tcMar>
          </w:tcPr>
          <w:p>
            <w:r>
              <w:rPr>
                <w:rFonts w:ascii="Arial" w:cs="Arial" w:eastAsia="Arial" w:hAnsi="Arial"/>
                <w:b/>
                <w:bCs/>
                <w:color w:val="1E4D1E"/>
                <w:sz w:val="18"/>
                <w:szCs w:val="18"/>
              </w:rPr>
              <w:t xml:space="preserve">OK</w:t>
            </w:r>
          </w:p>
        </w:tc>
        <w:tc>
          <w:tcPr>
            <w:tcW w:type="dxa" w:w="2500"/>
            <w:tcBorders>
              <w:top w:val="single" w:color="CCCCCC" w:sz="4"/>
              <w:left w:val="single" w:color="CCCCCC" w:sz="4"/>
              <w:bottom w:val="single" w:color="CCCCCC" w:sz="4"/>
              <w:right w:val="single" w:color="CCCCCC" w:sz="4"/>
            </w:tcBorders>
            <w:shd w:fill="E5F2E5" w:val="clear"/>
            <w:tcMar>
              <w:top w:type="dxa" w:w="50"/>
              <w:left w:type="dxa" w:w="70"/>
              <w:bottom w:type="dxa" w:w="50"/>
              <w:right w:type="dxa" w:w="70"/>
            </w:tcMar>
          </w:tcPr>
          <w:p>
            <w:r>
              <w:rPr>
                <w:rFonts w:ascii="Arial" w:cs="Arial" w:eastAsia="Arial" w:hAnsi="Arial"/>
                <w:b/>
                <w:bCs/>
                <w:color w:val="222222"/>
                <w:sz w:val="18"/>
                <w:szCs w:val="18"/>
              </w:rPr>
              <w:t xml:space="preserve">Week capture</w:t>
            </w:r>
          </w:p>
        </w:tc>
        <w:tc>
          <w:tcPr>
            <w:tcW w:type="dxa" w:w="5360"/>
            <w:tcBorders>
              <w:top w:val="single" w:color="CCCCCC" w:sz="4"/>
              <w:left w:val="single" w:color="CCCCCC" w:sz="4"/>
              <w:bottom w:val="single" w:color="CCCCCC" w:sz="4"/>
              <w:right w:val="single" w:color="CCCCCC" w:sz="4"/>
            </w:tcBorders>
            <w:shd w:fill="E5F2E5" w:val="clear"/>
            <w:tcMar>
              <w:top w:type="dxa" w:w="50"/>
              <w:left w:type="dxa" w:w="70"/>
              <w:bottom w:type="dxa" w:w="50"/>
              <w:right w:type="dxa" w:w="70"/>
            </w:tcMar>
          </w:tcPr>
          <w:p>
            <w:r>
              <w:rPr>
                <w:rFonts w:ascii="Arial" w:cs="Arial" w:eastAsia="Arial" w:hAnsi="Arial"/>
                <w:b w:val="false"/>
                <w:bCs w:val="false"/>
                <w:color w:val="222222"/>
                <w:sz w:val="18"/>
                <w:szCs w:val="18"/>
              </w:rPr>
              <w:t xml:space="preserve">Six-row Total / Cash grid. Blank cash skips that account, does not write $0, does not Adjust. Edit keeps the last typed draft. Account 9 ETF total is typed. 70% is calculated. Blank ETF shows —.</w:t>
            </w:r>
          </w:p>
        </w:tc>
      </w:tr>
      <w:tr>
        <w:tc>
          <w:tcPr>
            <w:tcW w:type="dxa" w:w="1500"/>
            <w:tcBorders>
              <w:top w:val="single" w:color="CCCCCC" w:sz="4"/>
              <w:left w:val="single" w:color="CCCCCC" w:sz="4"/>
              <w:bottom w:val="single" w:color="CCCCCC" w:sz="4"/>
              <w:right w:val="single" w:color="CCCCCC" w:sz="4"/>
            </w:tcBorders>
            <w:shd w:fill="E5F2E5" w:val="clear"/>
            <w:tcMar>
              <w:top w:type="dxa" w:w="50"/>
              <w:left w:type="dxa" w:w="70"/>
              <w:bottom w:type="dxa" w:w="50"/>
              <w:right w:type="dxa" w:w="70"/>
            </w:tcMar>
          </w:tcPr>
          <w:p>
            <w:r>
              <w:rPr>
                <w:rFonts w:ascii="Arial" w:cs="Arial" w:eastAsia="Arial" w:hAnsi="Arial"/>
                <w:b/>
                <w:bCs/>
                <w:color w:val="1E4D1E"/>
                <w:sz w:val="18"/>
                <w:szCs w:val="18"/>
              </w:rPr>
              <w:t xml:space="preserve">OK</w:t>
            </w:r>
          </w:p>
        </w:tc>
        <w:tc>
          <w:tcPr>
            <w:tcW w:type="dxa" w:w="2500"/>
            <w:tcBorders>
              <w:top w:val="single" w:color="CCCCCC" w:sz="4"/>
              <w:left w:val="single" w:color="CCCCCC" w:sz="4"/>
              <w:bottom w:val="single" w:color="CCCCCC" w:sz="4"/>
              <w:right w:val="single" w:color="CCCCCC" w:sz="4"/>
            </w:tcBorders>
            <w:shd w:fill="E5F2E5" w:val="clear"/>
            <w:tcMar>
              <w:top w:type="dxa" w:w="50"/>
              <w:left w:type="dxa" w:w="70"/>
              <w:bottom w:type="dxa" w:w="50"/>
              <w:right w:type="dxa" w:w="70"/>
            </w:tcMar>
          </w:tcPr>
          <w:p>
            <w:r>
              <w:rPr>
                <w:rFonts w:ascii="Arial" w:cs="Arial" w:eastAsia="Arial" w:hAnsi="Arial"/>
                <w:b/>
                <w:bCs/>
                <w:color w:val="222222"/>
                <w:sz w:val="18"/>
                <w:szCs w:val="18"/>
              </w:rPr>
              <w:t xml:space="preserve">Recon</w:t>
            </w:r>
          </w:p>
        </w:tc>
        <w:tc>
          <w:tcPr>
            <w:tcW w:type="dxa" w:w="5360"/>
            <w:tcBorders>
              <w:top w:val="single" w:color="CCCCCC" w:sz="4"/>
              <w:left w:val="single" w:color="CCCCCC" w:sz="4"/>
              <w:bottom w:val="single" w:color="CCCCCC" w:sz="4"/>
              <w:right w:val="single" w:color="CCCCCC" w:sz="4"/>
            </w:tcBorders>
            <w:shd w:fill="E5F2E5" w:val="clear"/>
            <w:tcMar>
              <w:top w:type="dxa" w:w="50"/>
              <w:left w:type="dxa" w:w="70"/>
              <w:bottom w:type="dxa" w:w="50"/>
              <w:right w:type="dxa" w:w="70"/>
            </w:tcMar>
          </w:tcPr>
          <w:p>
            <w:r>
              <w:rPr>
                <w:rFonts w:ascii="Arial" w:cs="Arial" w:eastAsia="Arial" w:hAnsi="Arial"/>
                <w:b w:val="false"/>
                <w:bCs w:val="false"/>
                <w:color w:val="222222"/>
                <w:sz w:val="18"/>
                <w:szCs w:val="18"/>
              </w:rPr>
              <w:t xml:space="preserve">Accept blocks until a gap reason is chosen. Adjust is a history row, not a lot edit.</w:t>
            </w:r>
          </w:p>
        </w:tc>
      </w:tr>
      <w:tr>
        <w:tc>
          <w:tcPr>
            <w:tcW w:type="dxa" w:w="1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7A4E00"/>
                <w:sz w:val="18"/>
                <w:szCs w:val="18"/>
              </w:rPr>
              <w:t xml:space="preserve">Partial</w:t>
            </w:r>
          </w:p>
        </w:tc>
        <w:tc>
          <w:tcPr>
            <w:tcW w:type="dxa" w:w="2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222222"/>
                <w:sz w:val="18"/>
                <w:szCs w:val="18"/>
              </w:rPr>
              <w:t xml:space="preserve">Live by risk</w:t>
            </w:r>
          </w:p>
        </w:tc>
        <w:tc>
          <w:tcPr>
            <w:tcW w:type="dxa" w:w="536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val="false"/>
                <w:bCs w:val="false"/>
                <w:color w:val="222222"/>
                <w:sz w:val="18"/>
                <w:szCs w:val="18"/>
              </w:rPr>
              <w:t xml:space="preserve">Charts live on Trends. Confirm the donut is level plus mix, not a second plan.</w:t>
            </w:r>
          </w:p>
        </w:tc>
      </w:tr>
      <w:tr>
        <w:tc>
          <w:tcPr>
            <w:tcW w:type="dxa" w:w="1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7A4E00"/>
                <w:sz w:val="18"/>
                <w:szCs w:val="18"/>
              </w:rPr>
              <w:t xml:space="preserve">Partial</w:t>
            </w:r>
          </w:p>
        </w:tc>
        <w:tc>
          <w:tcPr>
            <w:tcW w:type="dxa" w:w="2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222222"/>
                <w:sz w:val="18"/>
                <w:szCs w:val="18"/>
              </w:rPr>
              <w:t xml:space="preserve">Speculation</w:t>
            </w:r>
          </w:p>
        </w:tc>
        <w:tc>
          <w:tcPr>
            <w:tcW w:type="dxa" w:w="536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val="false"/>
                <w:bCs w:val="false"/>
                <w:color w:val="222222"/>
                <w:sz w:val="18"/>
                <w:szCs w:val="18"/>
              </w:rPr>
              <w:t xml:space="preserve">Capture includes Speculation cash. Cash-flow books exclude it from Register. That split is locked. Label Speculation capture-only so it is not expected on Week Ahead.</w:t>
            </w:r>
          </w:p>
        </w:tc>
      </w:tr>
    </w:tbl>
    <w:p>
      <w:pPr>
        <w:pStyle w:val="Heading1"/>
        <w:spacing w:after="100" w:before="280"/>
      </w:pPr>
      <w:r>
        <w:rPr>
          <w:rFonts w:ascii="Arial" w:cs="Arial" w:eastAsia="Arial" w:hAnsi="Arial"/>
          <w:b/>
          <w:bCs/>
          <w:sz w:val="32"/>
          <w:szCs w:val="32"/>
        </w:rPr>
        <w:t xml:space="preserve">Cash Management</w:t>
      </w:r>
    </w:p>
    <w:p>
      <w:pPr>
        <w:pStyle w:val="Heading2"/>
        <w:spacing w:after="60" w:before="200"/>
      </w:pPr>
      <w:r>
        <w:rPr>
          <w:rFonts w:ascii="Arial" w:cs="Arial" w:eastAsia="Arial" w:hAnsi="Arial"/>
          <w:b/>
          <w:bCs/>
          <w:sz w:val="26"/>
          <w:szCs w:val="26"/>
        </w:rPr>
        <w:t xml:space="preserve">Element Management</w:t>
      </w:r>
    </w:p>
    <w:p>
      <w:pPr>
        <w:pStyle w:val="ListParagraph"/>
        <w:numPr>
          <w:ilvl w:val="0"/>
          <w:numId w:val="2"/>
        </w:numPr>
        <w:spacing w:after="50"/>
      </w:pPr>
      <w:r>
        <w:rPr>
          <w:rFonts w:ascii="Arial" w:cs="Arial" w:eastAsia="Arial" w:hAnsi="Arial"/>
          <w:sz w:val="21"/>
          <w:szCs w:val="21"/>
        </w:rPr>
        <w:t xml:space="preserve">Catalog, editor, and exception edit exist. Frequencies Weekly / Monthly / Annual / One-time are the lock. Series edits must touch future unconfirmed rows only. Confirm delete cannot remove a posted row.</w:t>
      </w:r>
    </w:p>
    <w:p>
      <w:pPr>
        <w:pStyle w:val="ListParagraph"/>
        <w:numPr>
          <w:ilvl w:val="0"/>
          <w:numId w:val="2"/>
        </w:numPr>
        <w:spacing w:after="50"/>
      </w:pPr>
      <w:r>
        <w:rPr>
          <w:rFonts w:ascii="Arial" w:cs="Arial" w:eastAsia="Arial" w:hAnsi="Arial"/>
          <w:sz w:val="21"/>
          <w:szCs w:val="21"/>
        </w:rPr>
        <w:t xml:space="preserve">Income weekly three-line (net, fed, state) is a field set on disbursement rows. The editor should materialize three occurrences, not one gross row. Not proven from the editor alone.</w:t>
      </w:r>
    </w:p>
    <w:p>
      <w:pPr>
        <w:pStyle w:val="Heading2"/>
        <w:spacing w:after="60" w:before="200"/>
      </w:pPr>
      <w:r>
        <w:rPr>
          <w:rFonts w:ascii="Arial" w:cs="Arial" w:eastAsia="Arial" w:hAnsi="Arial"/>
          <w:b/>
          <w:bCs/>
          <w:sz w:val="26"/>
          <w:szCs w:val="26"/>
        </w:rPr>
        <w:t xml:space="preserve">Cashflow Manager</w:t>
      </w:r>
    </w:p>
    <w:p>
      <w:pPr>
        <w:pStyle w:val="ListParagraph"/>
        <w:numPr>
          <w:ilvl w:val="0"/>
          <w:numId w:val="2"/>
        </w:numPr>
        <w:spacing w:after="50"/>
      </w:pPr>
      <w:r>
        <w:rPr>
          <w:rFonts w:ascii="Arial" w:cs="Arial" w:eastAsia="Arial" w:hAnsi="Arial"/>
          <w:sz w:val="21"/>
          <w:szCs w:val="21"/>
        </w:rPr>
        <w:t xml:space="preserve">Register has calendar and trend, Deposit column, and running cash. That matches the 15 Sep register lock. Projected days after today must stay marked projected. Checking is still out of scope. Do not credit net-to-checking to another book.</w:t>
      </w:r>
    </w:p>
    <w:p>
      <w:pPr>
        <w:pStyle w:val="Heading2"/>
        <w:spacing w:after="60" w:before="200"/>
      </w:pPr>
      <w:r>
        <w:rPr>
          <w:rFonts w:ascii="Arial" w:cs="Arial" w:eastAsia="Arial" w:hAnsi="Arial"/>
          <w:b/>
          <w:bCs/>
          <w:sz w:val="26"/>
          <w:szCs w:val="26"/>
        </w:rPr>
        <w:t xml:space="preserve">Week ahead planner</w:t>
      </w:r>
    </w:p>
    <w:p>
      <w:pPr>
        <w:pStyle w:val="ListParagraph"/>
        <w:numPr>
          <w:ilvl w:val="0"/>
          <w:numId w:val="2"/>
        </w:numPr>
        <w:spacing w:after="50"/>
      </w:pPr>
      <w:r>
        <w:rPr>
          <w:rFonts w:ascii="Arial" w:cs="Arial" w:eastAsia="Arial" w:hAnsi="Arial"/>
          <w:sz w:val="21"/>
          <w:szCs w:val="21"/>
        </w:rPr>
        <w:t xml:space="preserve">Locked grid is Date | Account | Transaction | Amount with Confirm / Edit / Check tomorrow. The page is a reminder list plus Tasks and Loan payments. Snooze stands in for Check tomorrow. Dividends are filtered by note. It also drops account name CLM or CRF, which are symbols. Remove that filter. Put the four columns back.</w:t>
      </w:r>
    </w:p>
    <w:p>
      <w:pPr>
        <w:pStyle w:val="Heading2"/>
        <w:spacing w:after="60" w:before="200"/>
      </w:pPr>
      <w:r>
        <w:rPr>
          <w:rFonts w:ascii="Arial" w:cs="Arial" w:eastAsia="Arial" w:hAnsi="Arial"/>
          <w:b/>
          <w:bCs/>
          <w:sz w:val="26"/>
          <w:szCs w:val="26"/>
        </w:rPr>
        <w:t xml:space="preserve">Tax Planning</w:t>
      </w:r>
    </w:p>
    <w:p>
      <w:pPr>
        <w:pStyle w:val="ListParagraph"/>
        <w:numPr>
          <w:ilvl w:val="0"/>
          <w:numId w:val="2"/>
        </w:numPr>
        <w:spacing w:after="50"/>
      </w:pPr>
      <w:r>
        <w:rPr>
          <w:rFonts w:ascii="Arial" w:cs="Arial" w:eastAsia="Arial" w:hAnsi="Arial"/>
          <w:sz w:val="21"/>
          <w:szCs w:val="21"/>
        </w:rPr>
        <w:t xml:space="preserve">YTD chips are Account and Tax type. Null money renders as —. Car ROC uses CarRocPlanBody and stays None when the percent is missing. Menu label is Tax Planning, not the locked Car Account Tax Planning.</w:t>
      </w:r>
    </w:p>
    <w:p>
      <w:pPr>
        <w:pStyle w:val="Heading2"/>
        <w:spacing w:after="60" w:before="200"/>
      </w:pPr>
      <w:r>
        <w:rPr>
          <w:rFonts w:ascii="Arial" w:cs="Arial" w:eastAsia="Arial" w:hAnsi="Arial"/>
          <w:b/>
          <w:bCs/>
          <w:sz w:val="26"/>
          <w:szCs w:val="26"/>
        </w:rPr>
        <w:t xml:space="preserve">Income vs Expense, External accounts, Debt planner</w:t>
      </w:r>
    </w:p>
    <w:p>
      <w:pPr>
        <w:pStyle w:val="ListParagraph"/>
        <w:numPr>
          <w:ilvl w:val="0"/>
          <w:numId w:val="2"/>
        </w:numPr>
        <w:spacing w:after="50"/>
      </w:pPr>
      <w:r>
        <w:rPr>
          <w:rFonts w:ascii="Arial" w:cs="Arial" w:eastAsia="Arial" w:hAnsi="Arial"/>
          <w:sz w:val="21"/>
          <w:szCs w:val="21"/>
        </w:rPr>
        <w:t xml:space="preserve">These desks are mounted and golden-tested. They were roadmap items (checking, cross-account budget, transfers) or later loan work. They are not a substitute for the missing account master. Keep them off the v1 cash critical path until the Car / Income / Health books tie out.</w:t>
      </w:r>
    </w:p>
    <w:p>
      <w:pPr>
        <w:pStyle w:val="Heading1"/>
        <w:spacing w:after="100" w:before="280"/>
      </w:pPr>
      <w:r>
        <w:rPr>
          <w:rFonts w:ascii="Arial" w:cs="Arial" w:eastAsia="Arial" w:hAnsi="Arial"/>
          <w:b/>
          <w:bCs/>
          <w:sz w:val="32"/>
          <w:szCs w:val="32"/>
        </w:rPr>
        <w:t xml:space="preserve">Shopping Cart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Status</w:t>
            </w:r>
          </w:p>
        </w:tc>
        <w:tc>
          <w:tcPr>
            <w:tcW w:type="dxa" w:w="250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Component</w:t>
            </w:r>
          </w:p>
        </w:tc>
        <w:tc>
          <w:tcPr>
            <w:tcW w:type="dxa" w:w="536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Gap or recommendation</w:t>
            </w:r>
          </w:p>
        </w:tc>
      </w:tr>
      <w:tr>
        <w:tc>
          <w:tcPr>
            <w:tcW w:type="dxa" w:w="1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7A4E00"/>
                <w:sz w:val="18"/>
                <w:szCs w:val="18"/>
              </w:rPr>
              <w:t xml:space="preserve">Partial</w:t>
            </w:r>
          </w:p>
        </w:tc>
        <w:tc>
          <w:tcPr>
            <w:tcW w:type="dxa" w:w="2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222222"/>
                <w:sz w:val="18"/>
                <w:szCs w:val="18"/>
              </w:rPr>
              <w:t xml:space="preserve">Sell assign</w:t>
            </w:r>
          </w:p>
        </w:tc>
        <w:tc>
          <w:tcPr>
            <w:tcW w:type="dxa" w:w="536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val="false"/>
                <w:bCs w:val="false"/>
                <w:color w:val="222222"/>
                <w:sz w:val="18"/>
                <w:szCs w:val="18"/>
              </w:rPr>
              <w:t xml:space="preserve">Execute plan confirms cash, then assigns the lot in the same step. Lowest-cost propose belongs here. Do not post a sale without a lot id.</w:t>
            </w:r>
          </w:p>
        </w:tc>
      </w:tr>
      <w:tr>
        <w:tc>
          <w:tcPr>
            <w:tcW w:type="dxa" w:w="1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7A4E00"/>
                <w:sz w:val="18"/>
                <w:szCs w:val="18"/>
              </w:rPr>
              <w:t xml:space="preserve">Partial</w:t>
            </w:r>
          </w:p>
        </w:tc>
        <w:tc>
          <w:tcPr>
            <w:tcW w:type="dxa" w:w="2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222222"/>
                <w:sz w:val="18"/>
                <w:szCs w:val="18"/>
              </w:rPr>
              <w:t xml:space="preserve">Blend</w:t>
            </w:r>
          </w:p>
        </w:tc>
        <w:tc>
          <w:tcPr>
            <w:tcW w:type="dxa" w:w="536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val="false"/>
                <w:bCs w:val="false"/>
                <w:color w:val="222222"/>
                <w:sz w:val="18"/>
                <w:szCs w:val="18"/>
              </w:rPr>
              <w:t xml:space="preserve">Mix bars and income compare exist. They are a planning aid. They must not write Plan or ROC.</w:t>
            </w:r>
          </w:p>
        </w:tc>
      </w:tr>
      <w:tr>
        <w:tc>
          <w:tcPr>
            <w:tcW w:type="dxa" w:w="1500"/>
            <w:tcBorders>
              <w:top w:val="single" w:color="CCCCCC" w:sz="4"/>
              <w:left w:val="single" w:color="CCCCCC" w:sz="4"/>
              <w:bottom w:val="single" w:color="CCCCCC" w:sz="4"/>
              <w:right w:val="single" w:color="CCCCCC" w:sz="4"/>
            </w:tcBorders>
            <w:shd w:fill="E5F2E5" w:val="clear"/>
            <w:tcMar>
              <w:top w:type="dxa" w:w="50"/>
              <w:left w:type="dxa" w:w="70"/>
              <w:bottom w:type="dxa" w:w="50"/>
              <w:right w:type="dxa" w:w="70"/>
            </w:tcMar>
          </w:tcPr>
          <w:p>
            <w:r>
              <w:rPr>
                <w:rFonts w:ascii="Arial" w:cs="Arial" w:eastAsia="Arial" w:hAnsi="Arial"/>
                <w:b/>
                <w:bCs/>
                <w:color w:val="1E4D1E"/>
                <w:sz w:val="18"/>
                <w:szCs w:val="18"/>
              </w:rPr>
              <w:t xml:space="preserve">OK</w:t>
            </w:r>
          </w:p>
        </w:tc>
        <w:tc>
          <w:tcPr>
            <w:tcW w:type="dxa" w:w="2500"/>
            <w:tcBorders>
              <w:top w:val="single" w:color="CCCCCC" w:sz="4"/>
              <w:left w:val="single" w:color="CCCCCC" w:sz="4"/>
              <w:bottom w:val="single" w:color="CCCCCC" w:sz="4"/>
              <w:right w:val="single" w:color="CCCCCC" w:sz="4"/>
            </w:tcBorders>
            <w:shd w:fill="E5F2E5" w:val="clear"/>
            <w:tcMar>
              <w:top w:type="dxa" w:w="50"/>
              <w:left w:type="dxa" w:w="70"/>
              <w:bottom w:type="dxa" w:w="50"/>
              <w:right w:type="dxa" w:w="70"/>
            </w:tcMar>
          </w:tcPr>
          <w:p>
            <w:r>
              <w:rPr>
                <w:rFonts w:ascii="Arial" w:cs="Arial" w:eastAsia="Arial" w:hAnsi="Arial"/>
                <w:b/>
                <w:bCs/>
                <w:color w:val="222222"/>
                <w:sz w:val="18"/>
                <w:szCs w:val="18"/>
              </w:rPr>
              <w:t xml:space="preserve">Cash baseline</w:t>
            </w:r>
          </w:p>
        </w:tc>
        <w:tc>
          <w:tcPr>
            <w:tcW w:type="dxa" w:w="5360"/>
            <w:tcBorders>
              <w:top w:val="single" w:color="CCCCCC" w:sz="4"/>
              <w:left w:val="single" w:color="CCCCCC" w:sz="4"/>
              <w:bottom w:val="single" w:color="CCCCCC" w:sz="4"/>
              <w:right w:val="single" w:color="CCCCCC" w:sz="4"/>
            </w:tcBorders>
            <w:shd w:fill="E5F2E5" w:val="clear"/>
            <w:tcMar>
              <w:top w:type="dxa" w:w="50"/>
              <w:left w:type="dxa" w:w="70"/>
              <w:bottom w:type="dxa" w:w="50"/>
              <w:right w:type="dxa" w:w="70"/>
            </w:tcMar>
          </w:tcPr>
          <w:p>
            <w:r>
              <w:rPr>
                <w:rFonts w:ascii="Arial" w:cs="Arial" w:eastAsia="Arial" w:hAnsi="Arial"/>
                <w:b w:val="false"/>
                <w:bCs w:val="false"/>
                <w:color w:val="222222"/>
                <w:sz w:val="18"/>
                <w:szCs w:val="18"/>
              </w:rPr>
              <w:t xml:space="preserve">Migrations 0060–0061 and 0064 cover execute cash baseline, price scale, and supersede of executed siblings.</w:t>
            </w:r>
          </w:p>
        </w:tc>
      </w:tr>
    </w:tbl>
    <w:p>
      <w:pPr>
        <w:pStyle w:val="Heading1"/>
        <w:spacing w:after="100" w:before="280"/>
      </w:pPr>
      <w:r>
        <w:rPr>
          <w:rFonts w:ascii="Arial" w:cs="Arial" w:eastAsia="Arial" w:hAnsi="Arial"/>
          <w:b/>
          <w:bCs/>
          <w:sz w:val="32"/>
          <w:szCs w:val="32"/>
        </w:rPr>
        <w:t xml:space="preserve">Market impact planner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Status</w:t>
            </w:r>
          </w:p>
        </w:tc>
        <w:tc>
          <w:tcPr>
            <w:tcW w:type="dxa" w:w="250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Component</w:t>
            </w:r>
          </w:p>
        </w:tc>
        <w:tc>
          <w:tcPr>
            <w:tcW w:type="dxa" w:w="536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Gap or recommendation</w:t>
            </w:r>
          </w:p>
        </w:tc>
      </w:tr>
      <w:tr>
        <w:tc>
          <w:tcPr>
            <w:tcW w:type="dxa" w:w="1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7A4E00"/>
                <w:sz w:val="18"/>
                <w:szCs w:val="18"/>
              </w:rPr>
              <w:t xml:space="preserve">Partial</w:t>
            </w:r>
          </w:p>
        </w:tc>
        <w:tc>
          <w:tcPr>
            <w:tcW w:type="dxa" w:w="2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222222"/>
                <w:sz w:val="18"/>
                <w:szCs w:val="18"/>
              </w:rPr>
              <w:t xml:space="preserve">Windows</w:t>
            </w:r>
          </w:p>
        </w:tc>
        <w:tc>
          <w:tcPr>
            <w:tcW w:type="dxa" w:w="536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val="false"/>
                <w:bCs w:val="false"/>
                <w:color w:val="222222"/>
                <w:sz w:val="18"/>
                <w:szCs w:val="18"/>
              </w:rPr>
              <w:t xml:space="preserve">Bull and bear windows exist on the row. Lock says compares use the same owner-dated window and the same benchmark. Confirm NVDY vs NVDW uses one window. Advisory text must not post tier or Plan.</w:t>
            </w:r>
          </w:p>
        </w:tc>
      </w:tr>
    </w:tbl>
    <w:p>
      <w:pPr>
        <w:pStyle w:val="Heading1"/>
        <w:spacing w:after="100" w:before="280"/>
      </w:pPr>
      <w:r>
        <w:rPr>
          <w:rFonts w:ascii="Arial" w:cs="Arial" w:eastAsia="Arial" w:hAnsi="Arial"/>
          <w:b/>
          <w:bCs/>
          <w:sz w:val="32"/>
          <w:szCs w:val="32"/>
        </w:rPr>
        <w:t xml:space="preserve">Task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Status</w:t>
            </w:r>
          </w:p>
        </w:tc>
        <w:tc>
          <w:tcPr>
            <w:tcW w:type="dxa" w:w="250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Component</w:t>
            </w:r>
          </w:p>
        </w:tc>
        <w:tc>
          <w:tcPr>
            <w:tcW w:type="dxa" w:w="536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Gap or recommendation</w:t>
            </w:r>
          </w:p>
        </w:tc>
      </w:tr>
      <w:tr>
        <w:tc>
          <w:tcPr>
            <w:tcW w:type="dxa" w:w="1500"/>
            <w:tcBorders>
              <w:top w:val="single" w:color="CCCCCC" w:sz="4"/>
              <w:left w:val="single" w:color="CCCCCC" w:sz="4"/>
              <w:bottom w:val="single" w:color="CCCCCC" w:sz="4"/>
              <w:right w:val="single" w:color="CCCCCC" w:sz="4"/>
            </w:tcBorders>
            <w:shd w:fill="E5F2E5" w:val="clear"/>
            <w:tcMar>
              <w:top w:type="dxa" w:w="50"/>
              <w:left w:type="dxa" w:w="70"/>
              <w:bottom w:type="dxa" w:w="50"/>
              <w:right w:type="dxa" w:w="70"/>
            </w:tcMar>
          </w:tcPr>
          <w:p>
            <w:r>
              <w:rPr>
                <w:rFonts w:ascii="Arial" w:cs="Arial" w:eastAsia="Arial" w:hAnsi="Arial"/>
                <w:b/>
                <w:bCs/>
                <w:color w:val="1E4D1E"/>
                <w:sz w:val="18"/>
                <w:szCs w:val="18"/>
              </w:rPr>
              <w:t xml:space="preserve">OK</w:t>
            </w:r>
          </w:p>
        </w:tc>
        <w:tc>
          <w:tcPr>
            <w:tcW w:type="dxa" w:w="2500"/>
            <w:tcBorders>
              <w:top w:val="single" w:color="CCCCCC" w:sz="4"/>
              <w:left w:val="single" w:color="CCCCCC" w:sz="4"/>
              <w:bottom w:val="single" w:color="CCCCCC" w:sz="4"/>
              <w:right w:val="single" w:color="CCCCCC" w:sz="4"/>
            </w:tcBorders>
            <w:shd w:fill="E5F2E5" w:val="clear"/>
            <w:tcMar>
              <w:top w:type="dxa" w:w="50"/>
              <w:left w:type="dxa" w:w="70"/>
              <w:bottom w:type="dxa" w:w="50"/>
              <w:right w:type="dxa" w:w="70"/>
            </w:tcMar>
          </w:tcPr>
          <w:p>
            <w:r>
              <w:rPr>
                <w:rFonts w:ascii="Arial" w:cs="Arial" w:eastAsia="Arial" w:hAnsi="Arial"/>
                <w:b/>
                <w:bCs/>
                <w:color w:val="222222"/>
                <w:sz w:val="18"/>
                <w:szCs w:val="18"/>
              </w:rPr>
              <w:t xml:space="preserve">MAGI ticket</w:t>
            </w:r>
          </w:p>
        </w:tc>
        <w:tc>
          <w:tcPr>
            <w:tcW w:type="dxa" w:w="5360"/>
            <w:tcBorders>
              <w:top w:val="single" w:color="CCCCCC" w:sz="4"/>
              <w:left w:val="single" w:color="CCCCCC" w:sz="4"/>
              <w:bottom w:val="single" w:color="CCCCCC" w:sz="4"/>
              <w:right w:val="single" w:color="CCCCCC" w:sz="4"/>
            </w:tcBorders>
            <w:shd w:fill="E5F2E5" w:val="clear"/>
            <w:tcMar>
              <w:top w:type="dxa" w:w="50"/>
              <w:left w:type="dxa" w:w="70"/>
              <w:bottom w:type="dxa" w:w="50"/>
              <w:right w:type="dxa" w:w="70"/>
            </w:tcMar>
          </w:tcPr>
          <w:p>
            <w:r>
              <w:rPr>
                <w:rFonts w:ascii="Arial" w:cs="Arial" w:eastAsia="Arial" w:hAnsi="Arial"/>
                <w:b w:val="false"/>
                <w:bCs w:val="false"/>
                <w:color w:val="222222"/>
                <w:sz w:val="18"/>
                <w:szCs w:val="18"/>
              </w:rPr>
              <w:t xml:space="preserve">MagiCliffPanel is a ticket, not a silent cash edit. Threshold is a rule. The unit fixture is $84,600. Confirm the 2026 marketplace cliff is the rule the panel reads.</w:t>
            </w:r>
          </w:p>
        </w:tc>
      </w:tr>
      <w:tr>
        <w:tc>
          <w:tcPr>
            <w:tcW w:type="dxa" w:w="1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7A4E00"/>
                <w:sz w:val="18"/>
                <w:szCs w:val="18"/>
              </w:rPr>
              <w:t xml:space="preserve">Partial</w:t>
            </w:r>
          </w:p>
        </w:tc>
        <w:tc>
          <w:tcPr>
            <w:tcW w:type="dxa" w:w="2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222222"/>
                <w:sz w:val="18"/>
                <w:szCs w:val="18"/>
              </w:rPr>
              <w:t xml:space="preserve">SSA</w:t>
            </w:r>
          </w:p>
        </w:tc>
        <w:tc>
          <w:tcPr>
            <w:tcW w:type="dxa" w:w="536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val="false"/>
                <w:bCs w:val="false"/>
                <w:color w:val="222222"/>
                <w:sz w:val="18"/>
                <w:szCs w:val="18"/>
              </w:rPr>
              <w:t xml:space="preserve">SSA_2026 is a tax-planning row. Two elements, Tom and Barb, must stay separate. Combined is a sum, not a third element.</w:t>
            </w:r>
          </w:p>
        </w:tc>
      </w:tr>
    </w:tbl>
    <w:p>
      <w:pPr>
        <w:pStyle w:val="Heading1"/>
        <w:spacing w:after="100" w:before="280"/>
      </w:pPr>
      <w:r>
        <w:rPr>
          <w:rFonts w:ascii="Arial" w:cs="Arial" w:eastAsia="Arial" w:hAnsi="Arial"/>
          <w:b/>
          <w:bCs/>
          <w:sz w:val="32"/>
          <w:szCs w:val="32"/>
        </w:rPr>
        <w:t xml:space="preserve">Contract 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Status</w:t>
            </w:r>
          </w:p>
        </w:tc>
        <w:tc>
          <w:tcPr>
            <w:tcW w:type="dxa" w:w="250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Component</w:t>
            </w:r>
          </w:p>
        </w:tc>
        <w:tc>
          <w:tcPr>
            <w:tcW w:type="dxa" w:w="536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Gap or recommendation</w:t>
            </w:r>
          </w:p>
        </w:tc>
      </w:tr>
      <w:tr>
        <w:tc>
          <w:tcPr>
            <w:tcW w:type="dxa" w:w="1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7A4E00"/>
                <w:sz w:val="18"/>
                <w:szCs w:val="18"/>
              </w:rPr>
              <w:t xml:space="preserve">Partial</w:t>
            </w:r>
          </w:p>
        </w:tc>
        <w:tc>
          <w:tcPr>
            <w:tcW w:type="dxa" w:w="2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222222"/>
                <w:sz w:val="18"/>
                <w:szCs w:val="18"/>
              </w:rPr>
              <w:t xml:space="preserve">Options</w:t>
            </w:r>
          </w:p>
        </w:tc>
        <w:tc>
          <w:tcPr>
            <w:tcW w:type="dxa" w:w="536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val="false"/>
                <w:bCs w:val="false"/>
                <w:color w:val="222222"/>
                <w:sz w:val="18"/>
                <w:szCs w:val="18"/>
              </w:rPr>
              <w:t xml:space="preserve">New in schema 66: option_cover_lot and option_premium_post. Open and closed contracts, cover, and premiums are on the page. v1 income path excluded Day / Short / Put. Recommendation: keep premiums off Dividend Plan and off MAGI ordinary unless a later lock says otherwise. Cash covers are correctly not stored.</w:t>
            </w:r>
          </w:p>
        </w:tc>
      </w:tr>
    </w:tbl>
    <w:p>
      <w:pPr>
        <w:pStyle w:val="Heading1"/>
        <w:spacing w:after="100" w:before="280"/>
      </w:pPr>
      <w:r>
        <w:rPr>
          <w:rFonts w:ascii="Arial" w:cs="Arial" w:eastAsia="Arial" w:hAnsi="Arial"/>
          <w:b/>
          <w:bCs/>
          <w:sz w:val="32"/>
          <w:szCs w:val="32"/>
        </w:rPr>
        <w:t xml:space="preserve">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Status</w:t>
            </w:r>
          </w:p>
        </w:tc>
        <w:tc>
          <w:tcPr>
            <w:tcW w:type="dxa" w:w="250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Component</w:t>
            </w:r>
          </w:p>
        </w:tc>
        <w:tc>
          <w:tcPr>
            <w:tcW w:type="dxa" w:w="5360"/>
            <w:tcBorders>
              <w:top w:val="single" w:color="CCCCCC" w:sz="4"/>
              <w:left w:val="single" w:color="CCCCCC" w:sz="4"/>
              <w:bottom w:val="single" w:color="CCCCCC" w:sz="4"/>
              <w:right w:val="single" w:color="CCCCCC" w:sz="4"/>
            </w:tcBorders>
            <w:shd w:fill="1B365D" w:val="clear"/>
            <w:tcMar>
              <w:top w:type="dxa" w:w="50"/>
              <w:left w:type="dxa" w:w="70"/>
              <w:bottom w:type="dxa" w:w="50"/>
              <w:right w:type="dxa" w:w="70"/>
            </w:tcMar>
          </w:tcPr>
          <w:p>
            <w:r>
              <w:rPr>
                <w:rFonts w:ascii="Arial" w:cs="Arial" w:eastAsia="Arial" w:hAnsi="Arial"/>
                <w:b/>
                <w:bCs/>
                <w:color w:val="FFFFFF"/>
                <w:sz w:val="18"/>
                <w:szCs w:val="18"/>
              </w:rPr>
              <w:t xml:space="preserve">Gap or recommendation</w:t>
            </w:r>
          </w:p>
        </w:tc>
      </w:tr>
      <w:tr>
        <w:tc>
          <w:tcPr>
            <w:tcW w:type="dxa" w:w="1500"/>
            <w:tcBorders>
              <w:top w:val="single" w:color="CCCCCC" w:sz="4"/>
              <w:left w:val="single" w:color="CCCCCC" w:sz="4"/>
              <w:bottom w:val="single" w:color="CCCCCC" w:sz="4"/>
              <w:right w:val="single" w:color="CCCCCC" w:sz="4"/>
            </w:tcBorders>
            <w:shd w:fill="F4D6D6" w:val="clear"/>
            <w:tcMar>
              <w:top w:type="dxa" w:w="50"/>
              <w:left w:type="dxa" w:w="70"/>
              <w:bottom w:type="dxa" w:w="50"/>
              <w:right w:type="dxa" w:w="70"/>
            </w:tcMar>
          </w:tcPr>
          <w:p>
            <w:r>
              <w:rPr>
                <w:rFonts w:ascii="Arial" w:cs="Arial" w:eastAsia="Arial" w:hAnsi="Arial"/>
                <w:b/>
                <w:bCs/>
                <w:color w:val="7A1F1F"/>
                <w:sz w:val="18"/>
                <w:szCs w:val="18"/>
              </w:rPr>
              <w:t xml:space="preserve">Miss</w:t>
            </w:r>
          </w:p>
        </w:tc>
        <w:tc>
          <w:tcPr>
            <w:tcW w:type="dxa" w:w="2500"/>
            <w:tcBorders>
              <w:top w:val="single" w:color="CCCCCC" w:sz="4"/>
              <w:left w:val="single" w:color="CCCCCC" w:sz="4"/>
              <w:bottom w:val="single" w:color="CCCCCC" w:sz="4"/>
              <w:right w:val="single" w:color="CCCCCC" w:sz="4"/>
            </w:tcBorders>
            <w:shd w:fill="F4D6D6" w:val="clear"/>
            <w:tcMar>
              <w:top w:type="dxa" w:w="50"/>
              <w:left w:type="dxa" w:w="70"/>
              <w:bottom w:type="dxa" w:w="50"/>
              <w:right w:type="dxa" w:w="70"/>
            </w:tcMar>
          </w:tcPr>
          <w:p>
            <w:r>
              <w:rPr>
                <w:rFonts w:ascii="Arial" w:cs="Arial" w:eastAsia="Arial" w:hAnsi="Arial"/>
                <w:b/>
                <w:bCs/>
                <w:color w:val="222222"/>
                <w:sz w:val="18"/>
                <w:szCs w:val="18"/>
              </w:rPr>
              <w:t xml:space="preserve">Field intent</w:t>
            </w:r>
          </w:p>
        </w:tc>
        <w:tc>
          <w:tcPr>
            <w:tcW w:type="dxa" w:w="5360"/>
            <w:tcBorders>
              <w:top w:val="single" w:color="CCCCCC" w:sz="4"/>
              <w:left w:val="single" w:color="CCCCCC" w:sz="4"/>
              <w:bottom w:val="single" w:color="CCCCCC" w:sz="4"/>
              <w:right w:val="single" w:color="CCCCCC" w:sz="4"/>
            </w:tcBorders>
            <w:shd w:fill="F4D6D6" w:val="clear"/>
            <w:tcMar>
              <w:top w:type="dxa" w:w="50"/>
              <w:left w:type="dxa" w:w="70"/>
              <w:bottom w:type="dxa" w:w="50"/>
              <w:right w:type="dxa" w:w="70"/>
            </w:tcMar>
          </w:tcPr>
          <w:p>
            <w:r>
              <w:rPr>
                <w:rFonts w:ascii="Arial" w:cs="Arial" w:eastAsia="Arial" w:hAnsi="Arial"/>
                <w:b w:val="false"/>
                <w:bCs w:val="false"/>
                <w:color w:val="222222"/>
                <w:sz w:val="18"/>
                <w:szCs w:val="18"/>
              </w:rPr>
              <w:t xml:space="preserve">calculatorColumns.ts still marks every column matches, including TVAL and CASH-vs-DIV-1. Either drive the status from a test or stop showing matches.</w:t>
            </w:r>
          </w:p>
        </w:tc>
      </w:tr>
      <w:tr>
        <w:tc>
          <w:tcPr>
            <w:tcW w:type="dxa" w:w="1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7A4E00"/>
                <w:sz w:val="18"/>
                <w:szCs w:val="18"/>
              </w:rPr>
              <w:t xml:space="preserve">Partial</w:t>
            </w:r>
          </w:p>
        </w:tc>
        <w:tc>
          <w:tcPr>
            <w:tcW w:type="dxa" w:w="2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222222"/>
                <w:sz w:val="18"/>
                <w:szCs w:val="18"/>
              </w:rPr>
              <w:t xml:space="preserve">Roadmap</w:t>
            </w:r>
          </w:p>
        </w:tc>
        <w:tc>
          <w:tcPr>
            <w:tcW w:type="dxa" w:w="536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val="false"/>
                <w:bCs w:val="false"/>
                <w:color w:val="222222"/>
                <w:sz w:val="18"/>
                <w:szCs w:val="18"/>
              </w:rPr>
              <w:t xml:space="preserve">Screen exists. Cash roadmap items are also live desks. Move checking and inter-account transfers back to Roadmap until scoped.</w:t>
            </w:r>
          </w:p>
        </w:tc>
      </w:tr>
      <w:tr>
        <w:tc>
          <w:tcPr>
            <w:tcW w:type="dxa" w:w="1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7A4E00"/>
                <w:sz w:val="18"/>
                <w:szCs w:val="18"/>
              </w:rPr>
              <w:t xml:space="preserve">Partial</w:t>
            </w:r>
          </w:p>
        </w:tc>
        <w:tc>
          <w:tcPr>
            <w:tcW w:type="dxa" w:w="2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222222"/>
                <w:sz w:val="18"/>
                <w:szCs w:val="18"/>
              </w:rPr>
              <w:t xml:space="preserve">Component registry</w:t>
            </w:r>
          </w:p>
        </w:tc>
        <w:tc>
          <w:tcPr>
            <w:tcW w:type="dxa" w:w="536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val="false"/>
                <w:bCs w:val="false"/>
                <w:color w:val="222222"/>
                <w:sz w:val="18"/>
                <w:szCs w:val="18"/>
              </w:rPr>
              <w:t xml:space="preserve">Registry is a catalog. It does not prove a component is mounted. Screen Atlas is the mount list. Use Atlas when asking whether a page exists.</w:t>
            </w:r>
          </w:p>
        </w:tc>
      </w:tr>
      <w:tr>
        <w:tc>
          <w:tcPr>
            <w:tcW w:type="dxa" w:w="1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7A4E00"/>
                <w:sz w:val="18"/>
                <w:szCs w:val="18"/>
              </w:rPr>
              <w:t xml:space="preserve">Partial</w:t>
            </w:r>
          </w:p>
        </w:tc>
        <w:tc>
          <w:tcPr>
            <w:tcW w:type="dxa" w:w="250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bCs/>
                <w:color w:val="222222"/>
                <w:sz w:val="18"/>
                <w:szCs w:val="18"/>
              </w:rPr>
              <w:t xml:space="preserve">Settings / Restart</w:t>
            </w:r>
          </w:p>
        </w:tc>
        <w:tc>
          <w:tcPr>
            <w:tcW w:type="dxa" w:w="5360"/>
            <w:tcBorders>
              <w:top w:val="single" w:color="CCCCCC" w:sz="4"/>
              <w:left w:val="single" w:color="CCCCCC" w:sz="4"/>
              <w:bottom w:val="single" w:color="CCCCCC" w:sz="4"/>
              <w:right w:val="single" w:color="CCCCCC" w:sz="4"/>
            </w:tcBorders>
            <w:shd w:fill="FBE6C8" w:val="clear"/>
            <w:tcMar>
              <w:top w:type="dxa" w:w="50"/>
              <w:left w:type="dxa" w:w="70"/>
              <w:bottom w:type="dxa" w:w="50"/>
              <w:right w:type="dxa" w:w="70"/>
            </w:tcMar>
          </w:tcPr>
          <w:p>
            <w:r>
              <w:rPr>
                <w:rFonts w:ascii="Arial" w:cs="Arial" w:eastAsia="Arial" w:hAnsi="Arial"/>
                <w:b w:val="false"/>
                <w:bCs w:val="false"/>
                <w:color w:val="222222"/>
                <w:sz w:val="18"/>
                <w:szCs w:val="18"/>
              </w:rPr>
              <w:t xml:space="preserve">restart.token and supervisor path remain. Restart must quit, release SQLite, and launch again. Exit-only is still rejected.</w:t>
            </w:r>
          </w:p>
        </w:tc>
      </w:tr>
    </w:tbl>
    <w:p>
      <w:pPr>
        <w:pStyle w:val="Heading1"/>
        <w:spacing w:after="100" w:before="280"/>
      </w:pPr>
      <w:r>
        <w:rPr>
          <w:rFonts w:ascii="Arial" w:cs="Arial" w:eastAsia="Arial" w:hAnsi="Arial"/>
          <w:b/>
          <w:bCs/>
          <w:sz w:val="32"/>
          <w:szCs w:val="32"/>
        </w:rPr>
        <w:t xml:space="preserve">Shell, shared by every page</w:t>
      </w:r>
    </w:p>
    <w:p>
      <w:pPr>
        <w:pStyle w:val="ListParagraph"/>
        <w:numPr>
          <w:ilvl w:val="0"/>
          <w:numId w:val="2"/>
        </w:numPr>
        <w:spacing w:after="50"/>
      </w:pPr>
      <w:r>
        <w:rPr>
          <w:rFonts w:ascii="Arial" w:cs="Arial" w:eastAsia="Arial" w:hAnsi="Arial"/>
          <w:sz w:val="21"/>
          <w:szCs w:val="21"/>
        </w:rPr>
        <w:t xml:space="preserve">App.tsx 12,244 lines and queries.rs 14,923 lines. The thin-mount rule is not done. A page fix still risks the shell.</w:t>
      </w:r>
    </w:p>
    <w:p>
      <w:pPr>
        <w:pStyle w:val="ListParagraph"/>
        <w:numPr>
          <w:ilvl w:val="0"/>
          <w:numId w:val="2"/>
        </w:numPr>
        <w:spacing w:after="50"/>
      </w:pPr>
      <w:r>
        <w:rPr>
          <w:rFonts w:ascii="Arial" w:cs="Arial" w:eastAsia="Arial" w:hAnsi="Arial"/>
          <w:sz w:val="21"/>
          <w:szCs w:val="21"/>
        </w:rPr>
        <w:t xml:space="preserve">account table is still id, name, kind. Missing cash_symbol, broker_account_number, min_balance_target. Cash symbols are a hardcoded map: SPAXX, FDRXX, SWVXX.</w:t>
      </w:r>
    </w:p>
    <w:p>
      <w:pPr>
        <w:pStyle w:val="ListParagraph"/>
        <w:numPr>
          <w:ilvl w:val="0"/>
          <w:numId w:val="2"/>
        </w:numPr>
        <w:spacing w:after="50"/>
      </w:pPr>
      <w:r>
        <w:rPr>
          <w:rFonts w:ascii="Arial" w:cs="Arial" w:eastAsia="Arial" w:hAnsi="Arial"/>
          <w:sz w:val="21"/>
          <w:szCs w:val="21"/>
        </w:rPr>
        <w:t xml:space="preserve">Postgres has 6 migrations. SQLite has 66. Do not plan a second client on that path.</w:t>
      </w:r>
    </w:p>
    <w:p>
      <w:pPr>
        <w:pStyle w:val="ListParagraph"/>
        <w:numPr>
          <w:ilvl w:val="0"/>
          <w:numId w:val="2"/>
        </w:numPr>
        <w:spacing w:after="50"/>
      </w:pPr>
      <w:r>
        <w:rPr>
          <w:rFonts w:ascii="Arial" w:cs="Arial" w:eastAsia="Arial" w:hAnsi="Arial"/>
          <w:sz w:val="21"/>
          <w:szCs w:val="21"/>
        </w:rPr>
        <w:t xml:space="preserve">Core tables still have no foreign keys. Cart and cash element tables do.</w:t>
      </w:r>
    </w:p>
    <w:p>
      <w:pPr>
        <w:pStyle w:val="ListParagraph"/>
        <w:numPr>
          <w:ilvl w:val="0"/>
          <w:numId w:val="2"/>
        </w:numPr>
        <w:spacing w:after="50"/>
      </w:pPr>
      <w:r>
        <w:rPr>
          <w:rFonts w:ascii="Arial" w:cs="Arial" w:eastAsia="Arial" w:hAnsi="Arial"/>
          <w:sz w:val="21"/>
          <w:szCs w:val="21"/>
        </w:rPr>
        <w:t xml:space="preserve">Weekly periods are 52 everywhere. Leave 52 until the owner locks 53. Do not silently switch.</w:t>
      </w:r>
    </w:p>
    <w:p>
      <w:pPr>
        <w:pStyle w:val="Heading1"/>
        <w:spacing w:after="100" w:before="280"/>
      </w:pPr>
      <w:r>
        <w:rPr>
          <w:rFonts w:ascii="Arial" w:cs="Arial" w:eastAsia="Arial" w:hAnsi="Arial"/>
          <w:b/>
          <w:bCs/>
          <w:sz w:val="32"/>
          <w:szCs w:val="32"/>
        </w:rPr>
        <w:t xml:space="preserve">Fix order</w:t>
      </w:r>
    </w:p>
    <w:p>
      <w:pPr>
        <w:pStyle w:val="ListParagraph"/>
        <w:numPr>
          <w:ilvl w:val="0"/>
          <w:numId w:val="2"/>
        </w:numPr>
        <w:spacing w:after="50"/>
      </w:pPr>
      <w:r>
        <w:rPr>
          <w:rFonts w:ascii="Arial" w:cs="Arial" w:eastAsia="Arial" w:hAnsi="Arial"/>
          <w:sz w:val="21"/>
          <w:szCs w:val="21"/>
        </w:rPr>
        <w:t xml:space="preserve">1. Calculator: drop CASH. Point Min at in-force pays. Rename sheet TVAL.</w:t>
      </w:r>
    </w:p>
    <w:p>
      <w:pPr>
        <w:pStyle w:val="ListParagraph"/>
        <w:numPr>
          <w:ilvl w:val="0"/>
          <w:numId w:val="2"/>
        </w:numPr>
        <w:spacing w:after="50"/>
      </w:pPr>
      <w:r>
        <w:rPr>
          <w:rFonts w:ascii="Arial" w:cs="Arial" w:eastAsia="Arial" w:hAnsi="Arial"/>
          <w:sz w:val="21"/>
          <w:szCs w:val="21"/>
        </w:rPr>
        <w:t xml:space="preserve">2. Account master: cash symbol, broker number, cash floor. Wire Dashboard floor and Import match.</w:t>
      </w:r>
    </w:p>
    <w:p>
      <w:pPr>
        <w:pStyle w:val="ListParagraph"/>
        <w:numPr>
          <w:ilvl w:val="0"/>
          <w:numId w:val="2"/>
        </w:numPr>
        <w:spacing w:after="50"/>
      </w:pPr>
      <w:r>
        <w:rPr>
          <w:rFonts w:ascii="Arial" w:cs="Arial" w:eastAsia="Arial" w:hAnsi="Arial"/>
          <w:sz w:val="21"/>
          <w:szCs w:val="21"/>
        </w:rPr>
        <w:t xml:space="preserve">3. Income Plan: add Reported next to Decl. Blank is not $0.</w:t>
      </w:r>
    </w:p>
    <w:p>
      <w:pPr>
        <w:pStyle w:val="ListParagraph"/>
        <w:numPr>
          <w:ilvl w:val="0"/>
          <w:numId w:val="2"/>
        </w:numPr>
        <w:spacing w:after="50"/>
      </w:pPr>
      <w:r>
        <w:rPr>
          <w:rFonts w:ascii="Arial" w:cs="Arial" w:eastAsia="Arial" w:hAnsi="Arial"/>
          <w:sz w:val="21"/>
          <w:szCs w:val="21"/>
        </w:rPr>
        <w:t xml:space="preserve">4. Week Ahead: restore Date | Account | Transaction | Amount. Remove the CLM/CRF account filter.</w:t>
      </w:r>
    </w:p>
    <w:p>
      <w:pPr>
        <w:pStyle w:val="ListParagraph"/>
        <w:numPr>
          <w:ilvl w:val="0"/>
          <w:numId w:val="2"/>
        </w:numPr>
        <w:spacing w:after="50"/>
      </w:pPr>
      <w:r>
        <w:rPr>
          <w:rFonts w:ascii="Arial" w:cs="Arial" w:eastAsia="Arial" w:hAnsi="Arial"/>
          <w:sz w:val="21"/>
          <w:szCs w:val="21"/>
        </w:rPr>
        <w:t xml:space="preserve">5. Holdings: add P&amp;L% + Annual% on original cost, unknown if either input is missing.</w:t>
      </w:r>
    </w:p>
    <w:p>
      <w:pPr>
        <w:pStyle w:val="ListParagraph"/>
        <w:numPr>
          <w:ilvl w:val="0"/>
          <w:numId w:val="2"/>
        </w:numPr>
        <w:spacing w:after="50"/>
      </w:pPr>
      <w:r>
        <w:rPr>
          <w:rFonts w:ascii="Arial" w:cs="Arial" w:eastAsia="Arial" w:hAnsi="Arial"/>
          <w:sz w:val="21"/>
          <w:szCs w:val="21"/>
        </w:rPr>
        <w:t xml:space="preserve">6. Delete setWizStep 6/8/9. Then split App.tsx.</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66666"/>
        <w:sz w:val="18"/>
        <w:szCs w:val="18"/>
      </w:rPr>
      <w:t xml:space="preserve">FinOS page audit  ·  6 Oct 2026  ·  schema 66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1B365D"/>
      <w:sz w:val="32"/>
      <w:szCs w:val="32"/>
    </w:rPr>
  </w:style>
  <w:style w:type="paragraph" w:styleId="Heading2">
    <w:name w:val="Heading 2"/>
    <w:basedOn w:val="Normal"/>
    <w:next w:val="Normal"/>
    <w:qFormat/>
    <w:pPr>
      <w:spacing w:after="60" w:before="180"/>
      <w:outlineLvl w:val="1"/>
    </w:pPr>
    <w:rPr>
      <w:rFonts w:ascii="Arial" w:cs="Arial" w:eastAsia="Arial" w:hAnsi="Arial"/>
      <w:b/>
      <w:bCs/>
      <w:color w:val="1B365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2026-10-06T17:55:58.391Z</dcterms:created>
  <dcterms:modified xsi:type="dcterms:W3CDTF">2026-10-06T17:55:58.391Z</dcterms:modified>
</cp:coreProperties>
</file>

<file path=docProps/custom.xml><?xml version="1.0" encoding="utf-8"?>
<Properties xmlns="http://schemas.openxmlformats.org/officeDocument/2006/custom-properties" xmlns:vt="http://schemas.openxmlformats.org/officeDocument/2006/docPropsVTypes"/>
</file>