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Finance Management System</w:t>
      </w:r>
    </w:p>
    <w:p>
      <w:pPr>
        <w:pStyle w:val="Subtitle"/>
      </w:pPr>
      <w:r>
        <w:t>Target Architecture and Implementation Roadmap — V1.1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5660"/>
        <w:gridCol w:w="2300"/>
      </w:tblGrid>
      <w:tr>
        <w:trPr>
          <w:tblHeader w:val="true"/>
        </w:trPr>
        <w:tc>
          <w:tcPr>
            <w:tcW w:type="dxa" w:w="1400"/>
            <w:shd w:fill="17365D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5660"/>
            <w:shd w:fill="17365D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300"/>
            <w:shd w:fill="17365D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/>
                <w:b/>
                <w:color w:val="FFFFFF"/>
                <w:sz w:val="18"/>
              </w:rPr>
              <w:t>Authority date</w:t>
            </w:r>
          </w:p>
        </w:tc>
      </w:tr>
      <w:tr>
        <w:tc>
          <w:tcPr>
            <w:tcW w:type="dxa" w:w="14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8"/>
              </w:rPr>
              <w:t>1.1</w:t>
            </w:r>
          </w:p>
        </w:tc>
        <w:tc>
          <w:tcPr>
            <w:tcW w:type="dxa" w:w="56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8"/>
              </w:rPr>
              <w:t>LOCKED TARGET — adds the Golden Business Outcome Harness; later changes require an approved ADR and version update</w:t>
            </w:r>
          </w:p>
        </w:tc>
        <w:tc>
          <w:tcPr>
            <w:tcW w:type="dxa" w:w="23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8"/>
              </w:rPr>
              <w:t>2026-08-14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2F0D9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17365D"/>
              </w:rPr>
              <w:t xml:space="preserve">Architecture decision  </w:t>
            </w:r>
            <w:r>
              <w:t>Build a local-first Windows/macOS desktop application using Tauri 2, React/TypeScript, Rust and SQLite. The same component boundaries and contracts must support a later centralized server deployment with PostgreSQL and multiple authenticated remote clients without rewriting the financial domain or user experience.</w:t>
            </w:r>
          </w:p>
        </w:tc>
      </w:tr>
    </w:tbl>
    <w:p>
      <w:pPr>
        <w:spacing w:after="20"/>
      </w:pPr>
    </w:p>
    <w:p>
      <w:pPr>
        <w:pStyle w:val="Heading1"/>
      </w:pPr>
      <w:r>
        <w:t>1. Purpose and authority</w:t>
      </w:r>
    </w:p>
    <w:p>
      <w:r>
        <w:t>This document locks V1.1 of the target software architecture for the Finance Management System. It converts the completed cross-cutting and tab requirements into a deployable technical direction. It governs platform selection, component boundaries, data authority, device handoff, centralized expansion, business-outcome verification, implementation sequencing and architectural acceptance.</w:t>
      </w:r>
    </w:p>
    <w:p>
      <w:pPr>
        <w:pStyle w:val="ListBullet"/>
      </w:pPr>
      <w:r>
        <w:t>The Finance Management System Build Package v2.0 remains the business and data-design baseline.</w:t>
      </w:r>
    </w:p>
    <w:p>
      <w:pPr>
        <w:pStyle w:val="ListBullet"/>
      </w:pPr>
      <w:r>
        <w:t>V1.1 adds the Golden Business Outcome Harness as a required architecture component and preserves V1.0 as the preceding locked baseline.</w:t>
      </w:r>
    </w:p>
    <w:p>
      <w:pPr>
        <w:pStyle w:val="ListBullet"/>
      </w:pPr>
      <w:r>
        <w:t>This document is the governing technical architecture unless superseded by a later approved version.</w:t>
      </w:r>
    </w:p>
    <w:p>
      <w:pPr>
        <w:pStyle w:val="ListBullet"/>
      </w:pPr>
      <w:r>
        <w:t>The initial product is a single-owner, local-first desktop system with controlled handoff between computers.</w:t>
      </w:r>
    </w:p>
    <w:p>
      <w:pPr>
        <w:pStyle w:val="ListBullet"/>
      </w:pPr>
      <w:r>
        <w:t>Centralized multi-client operation is an intentional deployment evolution supported by V1—not a speculative rewrite.</w:t>
      </w:r>
    </w:p>
    <w:p>
      <w:pPr>
        <w:pStyle w:val="ListBullet"/>
      </w:pPr>
      <w:r>
        <w:t>Spreadsheet mechanics are evidence of business intent; they are not the target component boundaries.</w:t>
      </w:r>
    </w:p>
    <w:p>
      <w:pPr>
        <w:pStyle w:val="Heading1"/>
      </w:pPr>
      <w:r>
        <w:t>2. Locked architectural outcomes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3300"/>
        <w:gridCol w:w="4760"/>
      </w:tblGrid>
      <w:tr>
        <w:trPr>
          <w:tblHeader w:val="true"/>
        </w:trPr>
        <w:tc>
          <w:tcPr>
            <w:tcW w:type="dxa" w:w="1300"/>
            <w:shd w:fill="17365D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/>
                <w:b/>
                <w:color w:val="FFFFFF"/>
                <w:sz w:val="17"/>
              </w:rPr>
              <w:t>ID</w:t>
            </w:r>
          </w:p>
        </w:tc>
        <w:tc>
          <w:tcPr>
            <w:tcW w:type="dxa" w:w="3300"/>
            <w:shd w:fill="17365D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/>
                <w:b/>
                <w:color w:val="FFFFFF"/>
                <w:sz w:val="17"/>
              </w:rPr>
              <w:t>Locked outcome</w:t>
            </w:r>
          </w:p>
        </w:tc>
        <w:tc>
          <w:tcPr>
            <w:tcW w:type="dxa" w:w="4760"/>
            <w:shd w:fill="17365D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/>
                <w:b/>
                <w:color w:val="FFFFFF"/>
                <w:sz w:val="17"/>
              </w:rPr>
              <w:t>Implication</w:t>
            </w:r>
          </w:p>
        </w:tc>
      </w:tr>
      <w:tr>
        <w:tc>
          <w:tcPr>
            <w:tcW w:type="dxa" w:w="13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ARCH-01</w:t>
            </w:r>
          </w:p>
        </w:tc>
        <w:tc>
          <w:tcPr>
            <w:tcW w:type="dxa" w:w="33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Local write-first authority</w:t>
            </w:r>
          </w:p>
        </w:tc>
        <w:tc>
          <w:tcPr>
            <w:tcW w:type="dxa" w:w="4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The operational SQLite database resides in the application data directory on the active computer.</w:t>
            </w:r>
          </w:p>
        </w:tc>
      </w:tr>
      <w:tr>
        <w:tc>
          <w:tcPr>
            <w:tcW w:type="dxa" w:w="13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ARCH-02</w:t>
            </w:r>
          </w:p>
        </w:tc>
        <w:tc>
          <w:tcPr>
            <w:tcW w:type="dxa" w:w="33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Cross-platform desktop</w:t>
            </w:r>
          </w:p>
        </w:tc>
        <w:tc>
          <w:tcPr>
            <w:tcW w:type="dxa" w:w="4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The same application codebase produces signed Windows and macOS installations.</w:t>
            </w:r>
          </w:p>
        </w:tc>
      </w:tr>
      <w:tr>
        <w:tc>
          <w:tcPr>
            <w:tcW w:type="dxa" w:w="13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ARCH-03</w:t>
            </w:r>
          </w:p>
        </w:tc>
        <w:tc>
          <w:tcPr>
            <w:tcW w:type="dxa" w:w="33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Component architecture</w:t>
            </w:r>
          </w:p>
        </w:tc>
        <w:tc>
          <w:tcPr>
            <w:tcW w:type="dxa" w:w="4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Business components communicate through versioned interfaces and do not depend on each other’s database tables.</w:t>
            </w:r>
          </w:p>
        </w:tc>
      </w:tr>
      <w:tr>
        <w:tc>
          <w:tcPr>
            <w:tcW w:type="dxa" w:w="13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ARCH-04</w:t>
            </w:r>
          </w:p>
        </w:tc>
        <w:tc>
          <w:tcPr>
            <w:tcW w:type="dxa" w:w="33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Deployment-independent domain</w:t>
            </w:r>
          </w:p>
        </w:tc>
        <w:tc>
          <w:tcPr>
            <w:tcW w:type="dxa" w:w="4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Financial domain rules do not know whether persistence is SQLite, PostgreSQL, local IPC or a remote API.</w:t>
            </w:r>
          </w:p>
        </w:tc>
      </w:tr>
      <w:tr>
        <w:tc>
          <w:tcPr>
            <w:tcW w:type="dxa" w:w="13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ARCH-05</w:t>
            </w:r>
          </w:p>
        </w:tc>
        <w:tc>
          <w:tcPr>
            <w:tcW w:type="dxa" w:w="33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Safe computer handoff</w:t>
            </w:r>
          </w:p>
        </w:tc>
        <w:tc>
          <w:tcPr>
            <w:tcW w:type="dxa" w:w="4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Immutable snapshot lineage identifies which computer holds the newest verified state and blocks unsafe divergent writes.</w:t>
            </w:r>
          </w:p>
        </w:tc>
      </w:tr>
      <w:tr>
        <w:tc>
          <w:tcPr>
            <w:tcW w:type="dxa" w:w="13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ARCH-06</w:t>
            </w:r>
          </w:p>
        </w:tc>
        <w:tc>
          <w:tcPr>
            <w:tcW w:type="dxa" w:w="33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Centralized expansion</w:t>
            </w:r>
          </w:p>
        </w:tc>
        <w:tc>
          <w:tcPr>
            <w:tcW w:type="dxa" w:w="4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The architecture supports a future server-based deployment with multiple authenticated desktop and web clients.</w:t>
            </w:r>
          </w:p>
        </w:tc>
      </w:tr>
      <w:tr>
        <w:tc>
          <w:tcPr>
            <w:tcW w:type="dxa" w:w="13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ARCH-07</w:t>
            </w:r>
          </w:p>
        </w:tc>
        <w:tc>
          <w:tcPr>
            <w:tcW w:type="dxa" w:w="33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Accuracy and explainability</w:t>
            </w:r>
          </w:p>
        </w:tc>
        <w:tc>
          <w:tcPr>
            <w:tcW w:type="dxa" w:w="4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Financial calculations expose inputs, versions, evidence and reconciliation—not opaque automation.</w:t>
            </w:r>
          </w:p>
        </w:tc>
      </w:tr>
      <w:tr>
        <w:tc>
          <w:tcPr>
            <w:tcW w:type="dxa" w:w="13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ARCH-08</w:t>
            </w:r>
          </w:p>
        </w:tc>
        <w:tc>
          <w:tcPr>
            <w:tcW w:type="dxa" w:w="33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Progressive automation</w:t>
            </w:r>
          </w:p>
        </w:tc>
        <w:tc>
          <w:tcPr>
            <w:tcW w:type="dxa" w:w="4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Manual, paste/import and API adapters feed the same canonical validation and posting services.</w:t>
            </w:r>
          </w:p>
        </w:tc>
      </w:tr>
      <w:tr>
        <w:tc>
          <w:tcPr>
            <w:tcW w:type="dxa" w:w="13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ARCH-09</w:t>
            </w:r>
          </w:p>
        </w:tc>
        <w:tc>
          <w:tcPr>
            <w:tcW w:type="dxa" w:w="33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No autonomous financial action</w:t>
            </w:r>
          </w:p>
        </w:tc>
        <w:tc>
          <w:tcPr>
            <w:tcW w:type="dxa" w:w="4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No component may place trades or move money without a separately approved future authorization design.</w:t>
            </w:r>
          </w:p>
        </w:tc>
      </w:tr>
    </w:tbl>
    <w:p>
      <w:pPr>
        <w:spacing w:after="20"/>
      </w:pPr>
    </w:p>
    <w:p>
      <w:pPr>
        <w:pStyle w:val="Heading1"/>
      </w:pPr>
      <w:r>
        <w:t>3. Target technology stack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3000"/>
        <w:gridCol w:w="4310"/>
      </w:tblGrid>
      <w:tr>
        <w:trPr>
          <w:tblHeader w:val="true"/>
        </w:trPr>
        <w:tc>
          <w:tcPr>
            <w:tcW w:type="dxa" w:w="2050"/>
            <w:shd w:fill="17365D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/>
                <w:b/>
                <w:color w:val="FFFFFF"/>
                <w:sz w:val="17"/>
              </w:rPr>
              <w:t>Layer</w:t>
            </w:r>
          </w:p>
        </w:tc>
        <w:tc>
          <w:tcPr>
            <w:tcW w:type="dxa" w:w="3000"/>
            <w:shd w:fill="17365D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/>
                <w:b/>
                <w:color w:val="FFFFFF"/>
                <w:sz w:val="17"/>
              </w:rPr>
              <w:t>V1 selection</w:t>
            </w:r>
          </w:p>
        </w:tc>
        <w:tc>
          <w:tcPr>
            <w:tcW w:type="dxa" w:w="4310"/>
            <w:shd w:fill="17365D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/>
                <w:b/>
                <w:color w:val="FFFFFF"/>
                <w:sz w:val="17"/>
              </w:rPr>
              <w:t>Role</w:t>
            </w:r>
          </w:p>
        </w:tc>
      </w:tr>
      <w:tr>
        <w:tc>
          <w:tcPr>
            <w:tcW w:type="dxa" w:w="20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Desktop shell</w:t>
            </w:r>
          </w:p>
        </w:tc>
        <w:tc>
          <w:tcPr>
            <w:tcW w:type="dxa" w:w="30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Tauri 2</w:t>
            </w:r>
          </w:p>
        </w:tc>
        <w:tc>
          <w:tcPr>
            <w:tcW w:type="dxa" w:w="431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Windows/macOS lifecycle, permissions, installers, signed updates and native integration.</w:t>
            </w:r>
          </w:p>
        </w:tc>
      </w:tr>
      <w:tr>
        <w:tc>
          <w:tcPr>
            <w:tcW w:type="dxa" w:w="20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Presentation</w:t>
            </w:r>
          </w:p>
        </w:tc>
        <w:tc>
          <w:tcPr>
            <w:tcW w:type="dxa" w:w="30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React + TypeScript + Vite</w:t>
            </w:r>
          </w:p>
        </w:tc>
        <w:tc>
          <w:tcPr>
            <w:tcW w:type="dxa" w:w="431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Component-based UI, navigation, forms and interactive workflow.</w:t>
            </w:r>
          </w:p>
        </w:tc>
      </w:tr>
      <w:tr>
        <w:tc>
          <w:tcPr>
            <w:tcW w:type="dxa" w:w="20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Design system</w:t>
            </w:r>
          </w:p>
        </w:tc>
        <w:tc>
          <w:tcPr>
            <w:tcW w:type="dxa" w:w="30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Radix primitives + governed design tokens</w:t>
            </w:r>
          </w:p>
        </w:tc>
        <w:tc>
          <w:tcPr>
            <w:tcW w:type="dxa" w:w="431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Accessible, consistent and polished interface without screen-specific styling drift.</w:t>
            </w:r>
          </w:p>
        </w:tc>
      </w:tr>
      <w:tr>
        <w:tc>
          <w:tcPr>
            <w:tcW w:type="dxa" w:w="20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Tables / charts</w:t>
            </w:r>
          </w:p>
        </w:tc>
        <w:tc>
          <w:tcPr>
            <w:tcW w:type="dxa" w:w="30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TanStack Table + Apache ECharts</w:t>
            </w:r>
          </w:p>
        </w:tc>
        <w:tc>
          <w:tcPr>
            <w:tcW w:type="dxa" w:w="431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High-density financial tables and exact-value drillable visualizations.</w:t>
            </w:r>
          </w:p>
        </w:tc>
      </w:tr>
      <w:tr>
        <w:tc>
          <w:tcPr>
            <w:tcW w:type="dxa" w:w="20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Application core</w:t>
            </w:r>
          </w:p>
        </w:tc>
        <w:tc>
          <w:tcPr>
            <w:tcW w:type="dxa" w:w="30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Rust</w:t>
            </w:r>
          </w:p>
        </w:tc>
        <w:tc>
          <w:tcPr>
            <w:tcW w:type="dxa" w:w="431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Use cases, validation, financial invariants, reconciliation, security and orchestration.</w:t>
            </w:r>
          </w:p>
        </w:tc>
      </w:tr>
      <w:tr>
        <w:tc>
          <w:tcPr>
            <w:tcW w:type="dxa" w:w="20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Persistence</w:t>
            </w:r>
          </w:p>
        </w:tc>
        <w:tc>
          <w:tcPr>
            <w:tcW w:type="dxa" w:w="30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Repository interfaces + SQLx adapters</w:t>
            </w:r>
          </w:p>
        </w:tc>
        <w:tc>
          <w:tcPr>
            <w:tcW w:type="dxa" w:w="431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Prevents UI/domain coupling to a specific database.</w:t>
            </w:r>
          </w:p>
        </w:tc>
      </w:tr>
      <w:tr>
        <w:tc>
          <w:tcPr>
            <w:tcW w:type="dxa" w:w="20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Local database</w:t>
            </w:r>
          </w:p>
        </w:tc>
        <w:tc>
          <w:tcPr>
            <w:tcW w:type="dxa" w:w="30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SQLite, local filesystem, WAL mode</w:t>
            </w:r>
          </w:p>
        </w:tc>
        <w:tc>
          <w:tcPr>
            <w:tcW w:type="dxa" w:w="431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Embedded operational system of record for desktop-local deployment.</w:t>
            </w:r>
          </w:p>
        </w:tc>
      </w:tr>
      <w:tr>
        <w:tc>
          <w:tcPr>
            <w:tcW w:type="dxa" w:w="20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Central database</w:t>
            </w:r>
          </w:p>
        </w:tc>
        <w:tc>
          <w:tcPr>
            <w:tcW w:type="dxa" w:w="30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PostgreSQL when server deployment begins</w:t>
            </w:r>
          </w:p>
        </w:tc>
        <w:tc>
          <w:tcPr>
            <w:tcW w:type="dxa" w:w="431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Concurrent multi-client transactions, server authority and centralized administration.</w:t>
            </w:r>
          </w:p>
        </w:tc>
      </w:tr>
      <w:tr>
        <w:tc>
          <w:tcPr>
            <w:tcW w:type="dxa" w:w="20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Financial precision</w:t>
            </w:r>
          </w:p>
        </w:tc>
        <w:tc>
          <w:tcPr>
            <w:tcW w:type="dxa" w:w="30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Fixed-scale integers and decimal domain types</w:t>
            </w:r>
          </w:p>
        </w:tc>
        <w:tc>
          <w:tcPr>
            <w:tcW w:type="dxa" w:w="431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No binary floating-point arithmetic for authoritative quantities, money, basis or rates.</w:t>
            </w:r>
          </w:p>
        </w:tc>
      </w:tr>
      <w:tr>
        <w:tc>
          <w:tcPr>
            <w:tcW w:type="dxa" w:w="20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Evidence storage</w:t>
            </w:r>
          </w:p>
        </w:tc>
        <w:tc>
          <w:tcPr>
            <w:tcW w:type="dxa" w:w="30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Content-addressed attachment store</w:t>
            </w:r>
          </w:p>
        </w:tc>
        <w:tc>
          <w:tcPr>
            <w:tcW w:type="dxa" w:w="431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Broker exports, statements, tax evidence, hashes and provenance.</w:t>
            </w:r>
          </w:p>
        </w:tc>
      </w:tr>
      <w:tr>
        <w:tc>
          <w:tcPr>
            <w:tcW w:type="dxa" w:w="20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Optional analytics</w:t>
            </w:r>
          </w:p>
        </w:tc>
        <w:tc>
          <w:tcPr>
            <w:tcW w:type="dxa" w:w="30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DuckDB read-only analytical projection</w:t>
            </w:r>
          </w:p>
        </w:tc>
        <w:tc>
          <w:tcPr>
            <w:tcW w:type="dxa" w:w="431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Larger trend and backtesting workloads without becoming another source of truth.</w:t>
            </w:r>
          </w:p>
        </w:tc>
      </w:tr>
      <w:tr>
        <w:tc>
          <w:tcPr>
            <w:tcW w:type="dxa" w:w="20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Optional connectors</w:t>
            </w:r>
          </w:p>
        </w:tc>
        <w:tc>
          <w:tcPr>
            <w:tcW w:type="dxa" w:w="30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Packaged Python worker behind versioned jobs</w:t>
            </w:r>
          </w:p>
        </w:tc>
        <w:tc>
          <w:tcPr>
            <w:tcW w:type="dxa" w:w="431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Provider-specific retrieval, parsing and research when Python materially improves delivery.</w:t>
            </w:r>
          </w:p>
        </w:tc>
      </w:tr>
      <w:tr>
        <w:tc>
          <w:tcPr>
            <w:tcW w:type="dxa" w:w="20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Source / delivery</w:t>
            </w:r>
          </w:p>
        </w:tc>
        <w:tc>
          <w:tcPr>
            <w:tcW w:type="dxa" w:w="30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GitHub + GitHub Actions</w:t>
            </w:r>
          </w:p>
        </w:tc>
        <w:tc>
          <w:tcPr>
            <w:tcW w:type="dxa" w:w="431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Code history, tests, Windows/macOS builds, signatures and controlled releases.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D9E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17365D"/>
              </w:rPr>
              <w:t xml:space="preserve">Technology boundary  </w:t>
            </w:r>
            <w:r>
              <w:t>React never executes arbitrary SQL. Tauri IPC, HTTP APIs, SQLite and PostgreSQL are adapters around the same typed application commands and queries. Python connectors return candidate observations; they never post authoritative financial facts directly.</w:t>
            </w:r>
          </w:p>
        </w:tc>
      </w:tr>
    </w:tbl>
    <w:p>
      <w:pPr>
        <w:spacing w:after="20"/>
      </w:pPr>
    </w:p>
    <w:p>
      <w:pPr>
        <w:pStyle w:val="Heading1"/>
      </w:pPr>
      <w:r>
        <w:t>4. Component architecture — confirmed capability</w:t>
      </w:r>
    </w:p>
    <w:p>
      <w:r>
        <w:t>The target explicitly supports a modular component architecture. V1 will be delivered as a modular monolith: one installable application with strongly separated components. This provides simpler deployment and transactions now while retaining the ability to move selected components behind server APIs later.</w:t>
      </w:r>
    </w:p>
    <w:p>
      <w:pPr>
        <w:pStyle w:val="Heading2"/>
      </w:pPr>
      <w:r>
        <w:t>4.1 Required architectural layers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3800"/>
        <w:gridCol w:w="3510"/>
      </w:tblGrid>
      <w:tr>
        <w:trPr>
          <w:tblHeader w:val="true"/>
        </w:trPr>
        <w:tc>
          <w:tcPr>
            <w:tcW w:type="dxa" w:w="2050"/>
            <w:shd w:fill="17365D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/>
                <w:b/>
                <w:color w:val="FFFFFF"/>
                <w:sz w:val="17"/>
              </w:rPr>
              <w:t>Layer</w:t>
            </w:r>
          </w:p>
        </w:tc>
        <w:tc>
          <w:tcPr>
            <w:tcW w:type="dxa" w:w="3800"/>
            <w:shd w:fill="17365D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/>
                <w:b/>
                <w:color w:val="FFFFFF"/>
                <w:sz w:val="17"/>
              </w:rPr>
              <w:t>Responsibility</w:t>
            </w:r>
          </w:p>
        </w:tc>
        <w:tc>
          <w:tcPr>
            <w:tcW w:type="dxa" w:w="3510"/>
            <w:shd w:fill="17365D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/>
                <w:b/>
                <w:color w:val="FFFFFF"/>
                <w:sz w:val="17"/>
              </w:rPr>
              <w:t>Dependency rule</w:t>
            </w:r>
          </w:p>
        </w:tc>
      </w:tr>
      <w:tr>
        <w:tc>
          <w:tcPr>
            <w:tcW w:type="dxa" w:w="20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Presentation</w:t>
            </w:r>
          </w:p>
        </w:tc>
        <w:tc>
          <w:tcPr>
            <w:tcW w:type="dxa" w:w="38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Screens, navigation, forms, charts and user interaction.</w:t>
            </w:r>
          </w:p>
        </w:tc>
        <w:tc>
          <w:tcPr>
            <w:tcW w:type="dxa" w:w="351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Depends only on typed client/application contracts.</w:t>
            </w:r>
          </w:p>
        </w:tc>
      </w:tr>
      <w:tr>
        <w:tc>
          <w:tcPr>
            <w:tcW w:type="dxa" w:w="20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Application services</w:t>
            </w:r>
          </w:p>
        </w:tc>
        <w:tc>
          <w:tcPr>
            <w:tcW w:type="dxa" w:w="38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Use cases, workflows, transactions, approvals and orchestration.</w:t>
            </w:r>
          </w:p>
        </w:tc>
        <w:tc>
          <w:tcPr>
            <w:tcW w:type="dxa" w:w="351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Coordinates domain components through ports; contains no UI logic.</w:t>
            </w:r>
          </w:p>
        </w:tc>
      </w:tr>
      <w:tr>
        <w:tc>
          <w:tcPr>
            <w:tcW w:type="dxa" w:w="20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Financial domain</w:t>
            </w:r>
          </w:p>
        </w:tc>
        <w:tc>
          <w:tcPr>
            <w:tcW w:type="dxa" w:w="38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Entities, value objects, policies and deterministic calculations.</w:t>
            </w:r>
          </w:p>
        </w:tc>
        <w:tc>
          <w:tcPr>
            <w:tcW w:type="dxa" w:w="351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Depends on no database, Tauri, network, broker or AI framework.</w:t>
            </w:r>
          </w:p>
        </w:tc>
      </w:tr>
      <w:tr>
        <w:tc>
          <w:tcPr>
            <w:tcW w:type="dxa" w:w="20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Ports / contracts</w:t>
            </w:r>
          </w:p>
        </w:tc>
        <w:tc>
          <w:tcPr>
            <w:tcW w:type="dxa" w:w="38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Repository, evidence, price, connector, identity, clock and notification interfaces.</w:t>
            </w:r>
          </w:p>
        </w:tc>
        <w:tc>
          <w:tcPr>
            <w:tcW w:type="dxa" w:w="351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Owned by the application/domain side, not by adapters.</w:t>
            </w:r>
          </w:p>
        </w:tc>
      </w:tr>
      <w:tr>
        <w:tc>
          <w:tcPr>
            <w:tcW w:type="dxa" w:w="20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Adapters</w:t>
            </w:r>
          </w:p>
        </w:tc>
        <w:tc>
          <w:tcPr>
            <w:tcW w:type="dxa" w:w="38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SQLite, PostgreSQL, filesystem, HTTP, broker import, Python worker and AI provider implementations.</w:t>
            </w:r>
          </w:p>
        </w:tc>
        <w:tc>
          <w:tcPr>
            <w:tcW w:type="dxa" w:w="351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May depend inward on contracts; inward layers never depend outward on adapters.</w:t>
            </w:r>
          </w:p>
        </w:tc>
      </w:tr>
    </w:tbl>
    <w:p>
      <w:pPr>
        <w:spacing w:after="20"/>
      </w:pPr>
    </w:p>
    <w:p>
      <w:pPr>
        <w:pStyle w:val="Heading2"/>
      </w:pPr>
      <w:r>
        <w:t>4.2 Component isolation requirements</w:t>
      </w:r>
    </w:p>
    <w:p>
      <w:pPr>
        <w:pStyle w:val="ListBullet"/>
      </w:pPr>
      <w:r>
        <w:t>Each component owns its commands, queries, validation rules and repository interface.</w:t>
      </w:r>
    </w:p>
    <w:p>
      <w:pPr>
        <w:pStyle w:val="ListBullet"/>
      </w:pPr>
      <w:r>
        <w:t>A component may reference another component only through an explicit application contract or published domain event.</w:t>
      </w:r>
    </w:p>
    <w:p>
      <w:pPr>
        <w:pStyle w:val="ListBullet"/>
      </w:pPr>
      <w:r>
        <w:t>No component reads or writes another component’s tables directly.</w:t>
      </w:r>
    </w:p>
    <w:p>
      <w:pPr>
        <w:pStyle w:val="ListBullet"/>
      </w:pPr>
      <w:r>
        <w:t>Cross-component updates use one application transaction locally or a server-side transaction/outbox pattern centrally.</w:t>
      </w:r>
    </w:p>
    <w:p>
      <w:pPr>
        <w:pStyle w:val="ListBullet"/>
      </w:pPr>
      <w:r>
        <w:t>Every interface is versioned; adapters can be replaced without changing canonical business entities.</w:t>
      </w:r>
    </w:p>
    <w:p>
      <w:pPr>
        <w:pStyle w:val="ListBullet"/>
      </w:pPr>
      <w:r>
        <w:t>Critical calculation tests run independently of the desktop shell, network and database engine.</w:t>
      </w:r>
    </w:p>
    <w:p>
      <w:pPr>
        <w:pStyle w:val="ListBullet"/>
      </w:pPr>
      <w:r>
        <w:t>Shared utilities are limited to true platform capabilities; business logic is not hidden in a generic common module.</w:t>
      </w:r>
    </w:p>
    <w:p>
      <w:pPr>
        <w:pStyle w:val="ListBullet"/>
      </w:pPr>
      <w:r>
        <w:t>Components remain deployable together until scale, security or organizational evidence justifies separation.</w:t>
      </w:r>
    </w:p>
    <w:p>
      <w:pPr>
        <w:pStyle w:val="Heading2"/>
      </w:pPr>
      <w:r>
        <w:t>4.3 Recommended bounded components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770"/>
        <w:gridCol w:w="3690"/>
      </w:tblGrid>
      <w:tr>
        <w:trPr>
          <w:tblHeader w:val="true"/>
        </w:trPr>
        <w:tc>
          <w:tcPr>
            <w:tcW w:type="dxa" w:w="1900"/>
            <w:shd w:fill="17365D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/>
                <w:b/>
                <w:color w:val="FFFFFF"/>
                <w:sz w:val="17"/>
              </w:rPr>
              <w:t>Component group</w:t>
            </w:r>
          </w:p>
        </w:tc>
        <w:tc>
          <w:tcPr>
            <w:tcW w:type="dxa" w:w="3770"/>
            <w:shd w:fill="17365D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/>
                <w:b/>
                <w:color w:val="FFFFFF"/>
                <w:sz w:val="17"/>
              </w:rPr>
              <w:t>Components</w:t>
            </w:r>
          </w:p>
        </w:tc>
        <w:tc>
          <w:tcPr>
            <w:tcW w:type="dxa" w:w="3690"/>
            <w:shd w:fill="17365D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/>
                <w:b/>
                <w:color w:val="FFFFFF"/>
                <w:sz w:val="17"/>
              </w:rPr>
              <w:t>Authority / output</w:t>
            </w:r>
          </w:p>
        </w:tc>
      </w:tr>
      <w:tr>
        <w:tc>
          <w:tcPr>
            <w:tcW w:type="dxa" w:w="19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Platform</w:t>
            </w:r>
          </w:p>
        </w:tc>
        <w:tc>
          <w:tcPr>
            <w:tcW w:type="dxa" w:w="377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Configuration, audit, approvals, exceptions, health, snapshot and restore</w:t>
            </w:r>
          </w:p>
        </w:tc>
        <w:tc>
          <w:tcPr>
            <w:tcW w:type="dxa" w:w="369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Governed configuration, operational evidence and recoverability.</w:t>
            </w:r>
          </w:p>
        </w:tc>
      </w:tr>
      <w:tr>
        <w:tc>
          <w:tcPr>
            <w:tcW w:type="dxa" w:w="19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Registries</w:t>
            </w:r>
          </w:p>
        </w:tc>
        <w:tc>
          <w:tcPr>
            <w:tcW w:type="dxa" w:w="377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Account Registry, Security Master, Symbol History</w:t>
            </w:r>
          </w:p>
        </w:tc>
        <w:tc>
          <w:tcPr>
            <w:tcW w:type="dxa" w:w="369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Stable account/security identities and effective-dated aliases.</w:t>
            </w:r>
          </w:p>
        </w:tc>
      </w:tr>
      <w:tr>
        <w:tc>
          <w:tcPr>
            <w:tcW w:type="dxa" w:w="19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Capture</w:t>
            </w:r>
          </w:p>
        </w:tc>
        <w:tc>
          <w:tcPr>
            <w:tcW w:type="dxa" w:w="377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Source Evidence, Import Staging, Connector Runtime</w:t>
            </w:r>
          </w:p>
        </w:tc>
        <w:tc>
          <w:tcPr>
            <w:tcW w:type="dxa" w:w="369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Immutable raw inputs, parser versions and validated candidates.</w:t>
            </w:r>
          </w:p>
        </w:tc>
      </w:tr>
      <w:tr>
        <w:tc>
          <w:tcPr>
            <w:tcW w:type="dxa" w:w="19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Financial ledger</w:t>
            </w:r>
          </w:p>
        </w:tc>
        <w:tc>
          <w:tcPr>
            <w:tcW w:type="dxa" w:w="377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Investment Activity Ledger, Lot/Basis, Distribution Characterization</w:t>
            </w:r>
          </w:p>
        </w:tc>
        <w:tc>
          <w:tcPr>
            <w:tcW w:type="dxa" w:w="369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Independent events, explicit lots, dual basis, ROC and reconciliation.</w:t>
            </w:r>
          </w:p>
        </w:tc>
      </w:tr>
      <w:tr>
        <w:tc>
          <w:tcPr>
            <w:tcW w:type="dxa" w:w="19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Market/dividend</w:t>
            </w:r>
          </w:p>
        </w:tc>
        <w:tc>
          <w:tcPr>
            <w:tcW w:type="dxa" w:w="377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Price Service, Dividend Intelligence, Calendar</w:t>
            </w:r>
          </w:p>
        </w:tc>
        <w:tc>
          <w:tcPr>
            <w:tcW w:type="dxa" w:w="369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Timestamped prices, declarations and canonical Saturday–Friday schedule.</w:t>
            </w:r>
          </w:p>
        </w:tc>
      </w:tr>
      <w:tr>
        <w:tc>
          <w:tcPr>
            <w:tcW w:type="dxa" w:w="19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Planning</w:t>
            </w:r>
          </w:p>
        </w:tc>
        <w:tc>
          <w:tcPr>
            <w:tcW w:type="dxa" w:w="377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Calculator Plan, Income Plan, Cash Burndown</w:t>
            </w:r>
          </w:p>
        </w:tc>
        <w:tc>
          <w:tcPr>
            <w:tcW w:type="dxa" w:w="369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Versioned Plan, projections, actuals and account cash sufficiency.</w:t>
            </w:r>
          </w:p>
        </w:tc>
      </w:tr>
      <w:tr>
        <w:tc>
          <w:tcPr>
            <w:tcW w:type="dxa" w:w="19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Reporting</w:t>
            </w:r>
          </w:p>
        </w:tc>
        <w:tc>
          <w:tcPr>
            <w:tcW w:type="dxa" w:w="377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Position Details, ROI, Trends, Dashboard</w:t>
            </w:r>
          </w:p>
        </w:tc>
        <w:tc>
          <w:tcPr>
            <w:tcW w:type="dxa" w:w="369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Reconciled views over canonical facts with formula/source drill-down.</w:t>
            </w:r>
          </w:p>
        </w:tc>
      </w:tr>
      <w:tr>
        <w:tc>
          <w:tcPr>
            <w:tcW w:type="dxa" w:w="19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Decision support</w:t>
            </w:r>
          </w:p>
        </w:tc>
        <w:tc>
          <w:tcPr>
            <w:tcW w:type="dxa" w:w="377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Allocation, Shopping Cart, Backtesting, Tax Projection</w:t>
            </w:r>
          </w:p>
        </w:tc>
        <w:tc>
          <w:tcPr>
            <w:tcW w:type="dxa" w:w="369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Alternatives, allocation progress, historical evidence and governed warnings.</w:t>
            </w:r>
          </w:p>
        </w:tc>
      </w:tr>
      <w:tr>
        <w:tc>
          <w:tcPr>
            <w:tcW w:type="dxa" w:w="19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AI advisory</w:t>
            </w:r>
          </w:p>
        </w:tc>
        <w:tc>
          <w:tcPr>
            <w:tcW w:type="dxa" w:w="377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AI Gateway and Analysis Run Registry</w:t>
            </w:r>
          </w:p>
        </w:tc>
        <w:tc>
          <w:tcPr>
            <w:tcW w:type="dxa" w:w="369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Bounded snapshots, provenance, recommendations and owner decisions only.</w:t>
            </w:r>
          </w:p>
        </w:tc>
      </w:tr>
    </w:tbl>
    <w:p>
      <w:pPr>
        <w:spacing w:after="20"/>
      </w:pPr>
    </w:p>
    <w:p>
      <w:pPr>
        <w:pStyle w:val="Heading1"/>
      </w:pPr>
      <w:r>
        <w:t>5. Deployment profiles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600"/>
        <w:gridCol w:w="2100"/>
        <w:gridCol w:w="2460"/>
      </w:tblGrid>
      <w:tr>
        <w:trPr>
          <w:tblHeader w:val="true"/>
        </w:trPr>
        <w:tc>
          <w:tcPr>
            <w:tcW w:type="dxa" w:w="2200"/>
            <w:shd w:fill="17365D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/>
                <w:b/>
                <w:color w:val="FFFFFF"/>
                <w:sz w:val="17"/>
              </w:rPr>
              <w:t>Profile</w:t>
            </w:r>
          </w:p>
        </w:tc>
        <w:tc>
          <w:tcPr>
            <w:tcW w:type="dxa" w:w="2600"/>
            <w:shd w:fill="17365D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/>
                <w:b/>
                <w:color w:val="FFFFFF"/>
                <w:sz w:val="17"/>
              </w:rPr>
              <w:t>Data authority</w:t>
            </w:r>
          </w:p>
        </w:tc>
        <w:tc>
          <w:tcPr>
            <w:tcW w:type="dxa" w:w="2100"/>
            <w:shd w:fill="17365D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/>
                <w:b/>
                <w:color w:val="FFFFFF"/>
                <w:sz w:val="17"/>
              </w:rPr>
              <w:t>Clients</w:t>
            </w:r>
          </w:p>
        </w:tc>
        <w:tc>
          <w:tcPr>
            <w:tcW w:type="dxa" w:w="2460"/>
            <w:shd w:fill="17365D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/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22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A — Desktop Local (V1)</w:t>
            </w:r>
          </w:p>
        </w:tc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Local SQLite on active computer</w:t>
            </w:r>
          </w:p>
        </w:tc>
        <w:tc>
          <w:tcPr>
            <w:tcW w:type="dxa" w:w="21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One Tauri desktop session</w:t>
            </w:r>
          </w:p>
        </w:tc>
        <w:tc>
          <w:tcPr>
            <w:tcW w:type="dxa" w:w="24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Initial production deployment; offline-capable and simplest to operate.</w:t>
            </w:r>
          </w:p>
        </w:tc>
      </w:tr>
      <w:tr>
        <w:tc>
          <w:tcPr>
            <w:tcW w:type="dxa" w:w="22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B — Controlled Device Handoff</w:t>
            </w:r>
          </w:p>
        </w:tc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One verified local SQLite head at a time</w:t>
            </w:r>
          </w:p>
        </w:tc>
        <w:tc>
          <w:tcPr>
            <w:tcW w:type="dxa" w:w="21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Windows and/or Mac used sequentially</w:t>
            </w:r>
          </w:p>
        </w:tc>
        <w:tc>
          <w:tcPr>
            <w:tcW w:type="dxa" w:w="24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Snapshot catalog identifies newest state and prevents silent branching.</w:t>
            </w:r>
          </w:p>
        </w:tc>
      </w:tr>
      <w:tr>
        <w:tc>
          <w:tcPr>
            <w:tcW w:type="dxa" w:w="22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C — Desktop Connected</w:t>
            </w:r>
          </w:p>
        </w:tc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Central PostgreSQL through server API</w:t>
            </w:r>
          </w:p>
        </w:tc>
        <w:tc>
          <w:tcPr>
            <w:tcW w:type="dxa" w:w="21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Multiple Tauri desktop clients</w:t>
            </w:r>
          </w:p>
        </w:tc>
        <w:tc>
          <w:tcPr>
            <w:tcW w:type="dxa" w:w="24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Concurrent authenticated remote access with centralized authority.</w:t>
            </w:r>
          </w:p>
        </w:tc>
      </w:tr>
      <w:tr>
        <w:tc>
          <w:tcPr>
            <w:tcW w:type="dxa" w:w="22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D — Web Connected</w:t>
            </w:r>
          </w:p>
        </w:tc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Central PostgreSQL through the same server API</w:t>
            </w:r>
          </w:p>
        </w:tc>
        <w:tc>
          <w:tcPr>
            <w:tcW w:type="dxa" w:w="21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Browser plus Tauri clients</w:t>
            </w:r>
          </w:p>
        </w:tc>
        <w:tc>
          <w:tcPr>
            <w:tcW w:type="dxa" w:w="24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Remote access without local installation while preserving shared business contracts.</w:t>
            </w:r>
          </w:p>
        </w:tc>
      </w:tr>
      <w:tr>
        <w:tc>
          <w:tcPr>
            <w:tcW w:type="dxa" w:w="22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E — Hybrid / Offline Connected (future)</w:t>
            </w:r>
          </w:p>
        </w:tc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Central authority plus local cache/change journal</w:t>
            </w:r>
          </w:p>
        </w:tc>
        <w:tc>
          <w:tcPr>
            <w:tcW w:type="dxa" w:w="21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Intermittently connected clients</w:t>
            </w:r>
          </w:p>
        </w:tc>
        <w:tc>
          <w:tcPr>
            <w:tcW w:type="dxa" w:w="24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Only after explicit conflict, security and synchronization design is approved.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FF2CC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17365D"/>
              </w:rPr>
              <w:t xml:space="preserve">Expansion guarantee  </w:t>
            </w:r>
            <w:r>
              <w:t>Profiles C and D are required architectural capabilities. Profile E is not implied by ordinary centralized access; concurrent offline editing is a separate complexity and must not be accidentally introduced.</w:t>
            </w:r>
          </w:p>
        </w:tc>
      </w:tr>
    </w:tbl>
    <w:p>
      <w:pPr>
        <w:spacing w:after="20"/>
      </w:pPr>
    </w:p>
    <w:p>
      <w:pPr>
        <w:pStyle w:val="Heading1"/>
      </w:pPr>
      <w:r>
        <w:t>6. V1 local-first runtime architecture</w:t>
      </w:r>
    </w:p>
    <w:p>
      <w:pPr>
        <w:pStyle w:val="ListNumber"/>
        <w:numPr>
          <w:ilvl w:val="0"/>
          <w:numId w:val="10"/>
        </w:numPr>
      </w:pPr>
      <w:r>
        <w:t>The React UI sends typed commands and queries through a FinanceClient interface.</w:t>
      </w:r>
    </w:p>
    <w:p>
      <w:pPr>
        <w:pStyle w:val="ListNumber"/>
        <w:numPr>
          <w:ilvl w:val="0"/>
          <w:numId w:val="10"/>
        </w:numPr>
      </w:pPr>
      <w:r>
        <w:t>The desktop implementation routes FinanceClient calls through restricted Tauri IPC to Rust application services.</w:t>
      </w:r>
    </w:p>
    <w:p>
      <w:pPr>
        <w:pStyle w:val="ListNumber"/>
        <w:numPr>
          <w:ilvl w:val="0"/>
          <w:numId w:val="10"/>
        </w:numPr>
      </w:pPr>
      <w:r>
        <w:t>Application services execute domain rules and repository operations inside explicit transactions.</w:t>
      </w:r>
    </w:p>
    <w:p>
      <w:pPr>
        <w:pStyle w:val="ListNumber"/>
        <w:numPr>
          <w:ilvl w:val="0"/>
          <w:numId w:val="10"/>
        </w:numPr>
      </w:pPr>
      <w:r>
        <w:t>SQLite repositories persist canonical facts; the evidence store retains source files and hashes.</w:t>
      </w:r>
    </w:p>
    <w:p>
      <w:pPr>
        <w:pStyle w:val="ListNumber"/>
        <w:numPr>
          <w:ilvl w:val="0"/>
          <w:numId w:val="10"/>
        </w:numPr>
      </w:pPr>
      <w:r>
        <w:t>Read models supply screens, tables and charts without making those views authoritative.</w:t>
      </w:r>
    </w:p>
    <w:p>
      <w:pPr>
        <w:pStyle w:val="ListNumber"/>
        <w:numPr>
          <w:ilvl w:val="0"/>
          <w:numId w:val="10"/>
        </w:numPr>
      </w:pPr>
      <w:r>
        <w:t>The audit service records imports, approvals, corrections, calculations, automated actions and restores.</w:t>
      </w:r>
    </w:p>
    <w:p>
      <w:pPr>
        <w:pStyle w:val="ListNumber"/>
        <w:numPr>
          <w:ilvl w:val="0"/>
          <w:numId w:val="10"/>
        </w:numPr>
      </w:pPr>
      <w:r>
        <w:t>The snapshot coordinator produces and verifies immutable recovery bundles and device manifests.</w:t>
      </w:r>
    </w:p>
    <w:p>
      <w:pPr>
        <w:pStyle w:val="Heading2"/>
      </w:pPr>
      <w:r>
        <w:t>6.1 Financial data rules</w:t>
      </w:r>
    </w:p>
    <w:p>
      <w:pPr>
        <w:pStyle w:val="ListBullet"/>
      </w:pPr>
      <w:r>
        <w:t>Use fixed-scale integer storage for authoritative money, price, quantity and rate fields, with domain-specific scale documented in schema metadata.</w:t>
      </w:r>
    </w:p>
    <w:p>
      <w:pPr>
        <w:pStyle w:val="ListBullet"/>
      </w:pPr>
      <w:r>
        <w:t>Transactions are independent immutable events. Corrections use linked reversals, replacements or new versions.</w:t>
      </w:r>
    </w:p>
    <w:p>
      <w:pPr>
        <w:pStyle w:val="ListBullet"/>
      </w:pPr>
      <w:r>
        <w:t>The application never assumes FIFO. Lowest-cost-first may be recommended; owner selection and broker reconciliation are explicit.</w:t>
      </w:r>
    </w:p>
    <w:p>
      <w:pPr>
        <w:pStyle w:val="ListBullet"/>
      </w:pPr>
      <w:r>
        <w:t>Actual price-paid performance basis and tax-adjusted basis remain separate.</w:t>
      </w:r>
    </w:p>
    <w:p>
      <w:pPr>
        <w:pStyle w:val="ListBullet"/>
      </w:pPr>
      <w:r>
        <w:t>Only CRF may have legitimate zero-cost DRIP lots. Historical source accounts remain valid; future automatic CRF DRIP capture is enabled only for FI Roth.</w:t>
      </w:r>
    </w:p>
    <w:p>
      <w:pPr>
        <w:pStyle w:val="ListBullet"/>
      </w:pPr>
      <w:r>
        <w:t>Declaration, approved Plan, projected income and actual cash remain separate states.</w:t>
      </w:r>
    </w:p>
    <w:p>
      <w:pPr>
        <w:pStyle w:val="ListBullet"/>
      </w:pPr>
      <w:r>
        <w:t>Unknown or conflicting values create visible exceptions and are never silently converted to zero.</w:t>
      </w:r>
    </w:p>
    <w:p>
      <w:pPr>
        <w:pStyle w:val="Heading1"/>
      </w:pPr>
      <w:r>
        <w:t>7. Computer awareness and safe handoff</w:t>
      </w:r>
    </w:p>
    <w:p>
      <w:r>
        <w:t>Source code, financial data and supporting evidence use different currency mechanisms. GitHub determines the current code release; snapshot lineage determines the current financial database; content hashes determine evidence identity.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rPr>
          <w:tblHeader w:val="true"/>
        </w:trPr>
        <w:tc>
          <w:tcPr>
            <w:tcW w:type="dxa" w:w="3600"/>
            <w:shd w:fill="17365D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/>
                <w:b/>
                <w:color w:val="FFFFFF"/>
                <w:sz w:val="17"/>
              </w:rPr>
              <w:t>Snapshot field</w:t>
            </w:r>
          </w:p>
        </w:tc>
        <w:tc>
          <w:tcPr>
            <w:tcW w:type="dxa" w:w="5760"/>
            <w:shd w:fill="17365D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/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database_id</w:t>
            </w:r>
          </w:p>
        </w:tc>
        <w:tc>
          <w:tcPr>
            <w:tcW w:type="dxa" w:w="5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Identifies the logical Finance Management System dataset.</w:t>
            </w:r>
          </w:p>
        </w:tc>
      </w:tr>
      <w:tr>
        <w:tc>
          <w:tcPr>
            <w:tcW w:type="dxa" w:w="3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snapshot_id / parent_snapshot_id</w:t>
            </w:r>
          </w:p>
        </w:tc>
        <w:tc>
          <w:tcPr>
            <w:tcW w:type="dxa" w:w="5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Creates an immutable ancestry chain rather than relying only on clock time.</w:t>
            </w:r>
          </w:p>
        </w:tc>
      </w:tr>
      <w:tr>
        <w:tc>
          <w:tcPr>
            <w:tcW w:type="dxa" w:w="3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device_id / device_name</w:t>
            </w:r>
          </w:p>
        </w:tc>
        <w:tc>
          <w:tcPr>
            <w:tcW w:type="dxa" w:w="5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Identifies which computer created the state.</w:t>
            </w:r>
          </w:p>
        </w:tc>
      </w:tr>
      <w:tr>
        <w:tc>
          <w:tcPr>
            <w:tcW w:type="dxa" w:w="3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change_sequence / last_event_at</w:t>
            </w:r>
          </w:p>
        </w:tc>
        <w:tc>
          <w:tcPr>
            <w:tcW w:type="dxa" w:w="5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Shows the data head represented by the snapshot.</w:t>
            </w:r>
          </w:p>
        </w:tc>
      </w:tr>
      <w:tr>
        <w:tc>
          <w:tcPr>
            <w:tcW w:type="dxa" w:w="3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schema_version / calculation_version / app_version</w:t>
            </w:r>
          </w:p>
        </w:tc>
        <w:tc>
          <w:tcPr>
            <w:tcW w:type="dxa" w:w="5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Makes the state reproducible and upgrade-safe.</w:t>
            </w:r>
          </w:p>
        </w:tc>
      </w:tr>
      <w:tr>
        <w:tc>
          <w:tcPr>
            <w:tcW w:type="dxa" w:w="3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database_hash / evidence_manifest_hash</w:t>
            </w:r>
          </w:p>
        </w:tc>
        <w:tc>
          <w:tcPr>
            <w:tcW w:type="dxa" w:w="5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Detects corruption, incomplete transport or unintended modification.</w:t>
            </w:r>
          </w:p>
        </w:tc>
      </w:tr>
      <w:tr>
        <w:tc>
          <w:tcPr>
            <w:tcW w:type="dxa" w:w="3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validation_status / restore_test_status</w:t>
            </w:r>
          </w:p>
        </w:tc>
        <w:tc>
          <w:tcPr>
            <w:tcW w:type="dxa" w:w="5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Prevents an unverified backup from being treated as recoverable.</w:t>
            </w:r>
          </w:p>
        </w:tc>
      </w:tr>
    </w:tbl>
    <w:p>
      <w:pPr>
        <w:spacing w:after="20"/>
      </w:pPr>
    </w:p>
    <w:p>
      <w:pPr>
        <w:pStyle w:val="Heading2"/>
      </w:pPr>
      <w:r>
        <w:t>7.1 Startup comparison behavior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rPr>
          <w:tblHeader w:val="true"/>
        </w:trPr>
        <w:tc>
          <w:tcPr>
            <w:tcW w:type="dxa" w:w="3600"/>
            <w:shd w:fill="17365D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/>
                <w:b/>
                <w:color w:val="FFFFFF"/>
                <w:sz w:val="17"/>
              </w:rPr>
              <w:t>Relationship</w:t>
            </w:r>
          </w:p>
        </w:tc>
        <w:tc>
          <w:tcPr>
            <w:tcW w:type="dxa" w:w="5760"/>
            <w:shd w:fill="17365D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/>
                <w:b/>
                <w:color w:val="FFFFFF"/>
                <w:sz w:val="17"/>
              </w:rPr>
              <w:t>Required behavior</w:t>
            </w:r>
          </w:p>
        </w:tc>
      </w:tr>
      <w:tr>
        <w:tc>
          <w:tcPr>
            <w:tcW w:type="dxa" w:w="3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Local head equals published head</w:t>
            </w:r>
          </w:p>
        </w:tc>
        <w:tc>
          <w:tcPr>
            <w:tcW w:type="dxa" w:w="5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Open normally.</w:t>
            </w:r>
          </w:p>
        </w:tc>
      </w:tr>
      <w:tr>
        <w:tc>
          <w:tcPr>
            <w:tcW w:type="dxa" w:w="3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Published head descends from local head</w:t>
            </w:r>
          </w:p>
        </w:tc>
        <w:tc>
          <w:tcPr>
            <w:tcW w:type="dxa" w:w="5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Another computer is newer; block ordinary writing until the newer state is restored or explicitly reviewed.</w:t>
            </w:r>
          </w:p>
        </w:tc>
      </w:tr>
      <w:tr>
        <w:tc>
          <w:tcPr>
            <w:tcW w:type="dxa" w:w="3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Local head descends from published head</w:t>
            </w:r>
          </w:p>
        </w:tc>
        <w:tc>
          <w:tcPr>
            <w:tcW w:type="dxa" w:w="5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Local computer is newer; publish a verified snapshot after the next accepted change/checkpoint.</w:t>
            </w:r>
          </w:p>
        </w:tc>
      </w:tr>
      <w:tr>
        <w:tc>
          <w:tcPr>
            <w:tcW w:type="dxa" w:w="3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Neither head descends from the other</w:t>
            </w:r>
          </w:p>
        </w:tc>
        <w:tc>
          <w:tcPr>
            <w:tcW w:type="dxa" w:w="5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Branch conflict; preserve both states and require explicit reconciliation or approved branch selection.</w:t>
            </w:r>
          </w:p>
        </w:tc>
      </w:tr>
      <w:tr>
        <w:tc>
          <w:tcPr>
            <w:tcW w:type="dxa" w:w="3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Transport unavailable</w:t>
            </w:r>
          </w:p>
        </w:tc>
        <w:tc>
          <w:tcPr>
            <w:tcW w:type="dxa" w:w="5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Allow controlled offline work with visible unverified-handoff status; do not claim the computer is current.</w:t>
            </w:r>
          </w:p>
        </w:tc>
      </w:tr>
      <w:tr>
        <w:tc>
          <w:tcPr>
            <w:tcW w:type="dxa" w:w="3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Snapshot/hash validation fails</w:t>
            </w:r>
          </w:p>
        </w:tc>
        <w:tc>
          <w:tcPr>
            <w:tcW w:type="dxa" w:w="5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Reject the candidate and retain the last verified recoverable state.</w:t>
            </w:r>
          </w:p>
        </w:tc>
      </w:tr>
    </w:tbl>
    <w:p>
      <w:pPr>
        <w:spacing w:after="20"/>
      </w:pPr>
    </w:p>
    <w:p>
      <w:r>
        <w:t>The live SQLite database is never placed directly in OneDrive, iCloud Drive, Dropbox or a network share. The transport carries consistent backup bundles and manifests. Cloud synchronization provides awareness and transport, not the database locking mechanism.</w:t>
      </w:r>
    </w:p>
    <w:p>
      <w:r>
        <w:br w:type="page"/>
      </w:r>
    </w:p>
    <w:p>
      <w:pPr>
        <w:pStyle w:val="Heading1"/>
      </w:pPr>
      <w:r>
        <w:t>8. Centralized server and multiple remote clients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2F0D9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17365D"/>
              </w:rPr>
              <w:t xml:space="preserve">Confirmed target capability  </w:t>
            </w:r>
            <w:r>
              <w:t>The system must support evolution into a centralized server-based financial operating system that accepts multiple concurrent remote client connections. V1 component boundaries, data contracts and repositories are required to preserve this option.</w:t>
            </w:r>
          </w:p>
        </w:tc>
      </w:tr>
    </w:tbl>
    <w:p>
      <w:pPr>
        <w:spacing w:after="20"/>
      </w:pPr>
    </w:p>
    <w:p>
      <w:pPr>
        <w:pStyle w:val="Heading2"/>
      </w:pPr>
      <w:r>
        <w:t>8.1 Central deployment architecture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700"/>
        <w:gridCol w:w="3760"/>
      </w:tblGrid>
      <w:tr>
        <w:trPr>
          <w:tblHeader w:val="true"/>
        </w:trPr>
        <w:tc>
          <w:tcPr>
            <w:tcW w:type="dxa" w:w="1900"/>
            <w:shd w:fill="17365D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/>
                <w:b/>
                <w:color w:val="FFFFFF"/>
                <w:sz w:val="17"/>
              </w:rPr>
              <w:t>Central layer</w:t>
            </w:r>
          </w:p>
        </w:tc>
        <w:tc>
          <w:tcPr>
            <w:tcW w:type="dxa" w:w="3700"/>
            <w:shd w:fill="17365D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/>
                <w:b/>
                <w:color w:val="FFFFFF"/>
                <w:sz w:val="17"/>
              </w:rPr>
              <w:t>Recommended implementation</w:t>
            </w:r>
          </w:p>
        </w:tc>
        <w:tc>
          <w:tcPr>
            <w:tcW w:type="dxa" w:w="3760"/>
            <w:shd w:fill="17365D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/>
                <w:b/>
                <w:color w:val="FFFFFF"/>
                <w:sz w:val="17"/>
              </w:rPr>
              <w:t>Responsibility</w:t>
            </w:r>
          </w:p>
        </w:tc>
      </w:tr>
      <w:tr>
        <w:tc>
          <w:tcPr>
            <w:tcW w:type="dxa" w:w="19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Clients</w:t>
            </w:r>
          </w:p>
        </w:tc>
        <w:tc>
          <w:tcPr>
            <w:tcW w:type="dxa" w:w="37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Tauri desktop and React web client</w:t>
            </w:r>
          </w:p>
        </w:tc>
        <w:tc>
          <w:tcPr>
            <w:tcW w:type="dxa" w:w="3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Use the same FinanceClient command/query contract; no direct database access.</w:t>
            </w:r>
          </w:p>
        </w:tc>
      </w:tr>
      <w:tr>
        <w:tc>
          <w:tcPr>
            <w:tcW w:type="dxa" w:w="19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Edge/API</w:t>
            </w:r>
          </w:p>
        </w:tc>
        <w:tc>
          <w:tcPr>
            <w:tcW w:type="dxa" w:w="37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TLS reverse proxy plus versioned HTTPS API</w:t>
            </w:r>
          </w:p>
        </w:tc>
        <w:tc>
          <w:tcPr>
            <w:tcW w:type="dxa" w:w="3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Authentication enforcement, request limits, API version routing and transport security.</w:t>
            </w:r>
          </w:p>
        </w:tc>
      </w:tr>
      <w:tr>
        <w:tc>
          <w:tcPr>
            <w:tcW w:type="dxa" w:w="19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Application server</w:t>
            </w:r>
          </w:p>
        </w:tc>
        <w:tc>
          <w:tcPr>
            <w:tcW w:type="dxa" w:w="37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Rust service using the shared application/domain crates; Axum is the preferred HTTP adapter</w:t>
            </w:r>
          </w:p>
        </w:tc>
        <w:tc>
          <w:tcPr>
            <w:tcW w:type="dxa" w:w="3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Commands, queries, transactions, approvals, calculations and event publication.</w:t>
            </w:r>
          </w:p>
        </w:tc>
      </w:tr>
      <w:tr>
        <w:tc>
          <w:tcPr>
            <w:tcW w:type="dxa" w:w="19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Identity</w:t>
            </w:r>
          </w:p>
        </w:tc>
        <w:tc>
          <w:tcPr>
            <w:tcW w:type="dxa" w:w="37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OIDC-compatible identity provider and role/permission policy</w:t>
            </w:r>
          </w:p>
        </w:tc>
        <w:tc>
          <w:tcPr>
            <w:tcW w:type="dxa" w:w="3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Authenticated users, sessions, device registration and least-privilege authorization.</w:t>
            </w:r>
          </w:p>
        </w:tc>
      </w:tr>
      <w:tr>
        <w:tc>
          <w:tcPr>
            <w:tcW w:type="dxa" w:w="19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Operational database</w:t>
            </w:r>
          </w:p>
        </w:tc>
        <w:tc>
          <w:tcPr>
            <w:tcW w:type="dxa" w:w="37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PostgreSQL</w:t>
            </w:r>
          </w:p>
        </w:tc>
        <w:tc>
          <w:tcPr>
            <w:tcW w:type="dxa" w:w="3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Central authoritative transactions, optimistic concurrency and multi-client consistency.</w:t>
            </w:r>
          </w:p>
        </w:tc>
      </w:tr>
      <w:tr>
        <w:tc>
          <w:tcPr>
            <w:tcW w:type="dxa" w:w="19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Evidence store</w:t>
            </w:r>
          </w:p>
        </w:tc>
        <w:tc>
          <w:tcPr>
            <w:tcW w:type="dxa" w:w="37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Encrypted S3-compatible object storage or governed filesystem service</w:t>
            </w:r>
          </w:p>
        </w:tc>
        <w:tc>
          <w:tcPr>
            <w:tcW w:type="dxa" w:w="3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Statements, imports, tax evidence, attachments, hashes and retention.</w:t>
            </w:r>
          </w:p>
        </w:tc>
      </w:tr>
      <w:tr>
        <w:tc>
          <w:tcPr>
            <w:tcW w:type="dxa" w:w="19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Background work</w:t>
            </w:r>
          </w:p>
        </w:tc>
        <w:tc>
          <w:tcPr>
            <w:tcW w:type="dxa" w:w="37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Durable server job runner; PostgreSQL-backed queue initially</w:t>
            </w:r>
          </w:p>
        </w:tc>
        <w:tc>
          <w:tcPr>
            <w:tcW w:type="dxa" w:w="3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Imports, retrieval, reports, snapshots and AI tasks without introducing Kafka prematurely.</w:t>
            </w:r>
          </w:p>
        </w:tc>
      </w:tr>
      <w:tr>
        <w:tc>
          <w:tcPr>
            <w:tcW w:type="dxa" w:w="19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Client updates</w:t>
            </w:r>
          </w:p>
        </w:tc>
        <w:tc>
          <w:tcPr>
            <w:tcW w:type="dxa" w:w="37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Server-Sent Events or WebSocket adapter where justified</w:t>
            </w:r>
          </w:p>
        </w:tc>
        <w:tc>
          <w:tcPr>
            <w:tcW w:type="dxa" w:w="3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Notify connected clients of posted changes; clients re-query authoritative read models.</w:t>
            </w:r>
          </w:p>
        </w:tc>
      </w:tr>
      <w:tr>
        <w:tc>
          <w:tcPr>
            <w:tcW w:type="dxa" w:w="19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Observability</w:t>
            </w:r>
          </w:p>
        </w:tc>
        <w:tc>
          <w:tcPr>
            <w:tcW w:type="dxa" w:w="37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Structured logs, metrics, traces, health checks and owner-readable operations view</w:t>
            </w:r>
          </w:p>
        </w:tc>
        <w:tc>
          <w:tcPr>
            <w:tcW w:type="dxa" w:w="3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Diagnose imports, failures, performance, backup and security events.</w:t>
            </w:r>
          </w:p>
        </w:tc>
      </w:tr>
      <w:tr>
        <w:tc>
          <w:tcPr>
            <w:tcW w:type="dxa" w:w="19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Recovery</w:t>
            </w:r>
          </w:p>
        </w:tc>
        <w:tc>
          <w:tcPr>
            <w:tcW w:type="dxa" w:w="37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PostgreSQL backup/PITR plus evidence backups and tested restore procedures</w:t>
            </w:r>
          </w:p>
        </w:tc>
        <w:tc>
          <w:tcPr>
            <w:tcW w:type="dxa" w:w="3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Central recovery that retains audit and version history.</w:t>
            </w:r>
          </w:p>
        </w:tc>
      </w:tr>
    </w:tbl>
    <w:p>
      <w:pPr>
        <w:spacing w:after="20"/>
      </w:pPr>
    </w:p>
    <w:p>
      <w:pPr>
        <w:pStyle w:val="Heading2"/>
      </w:pPr>
      <w:r>
        <w:t>8.2 How V1 avoids a future rewrite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200"/>
        <w:gridCol w:w="5160"/>
      </w:tblGrid>
      <w:tr>
        <w:trPr>
          <w:tblHeader w:val="true"/>
        </w:trPr>
        <w:tc>
          <w:tcPr>
            <w:tcW w:type="dxa" w:w="4200"/>
            <w:shd w:fill="17365D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/>
                <w:b/>
                <w:color w:val="FFFFFF"/>
                <w:sz w:val="17"/>
              </w:rPr>
              <w:t>V1 design choice</w:t>
            </w:r>
          </w:p>
        </w:tc>
        <w:tc>
          <w:tcPr>
            <w:tcW w:type="dxa" w:w="5160"/>
            <w:shd w:fill="17365D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/>
                <w:b/>
                <w:color w:val="FFFFFF"/>
                <w:sz w:val="17"/>
              </w:rPr>
              <w:t>Central evolution</w:t>
            </w:r>
          </w:p>
        </w:tc>
      </w:tr>
      <w:tr>
        <w:tc>
          <w:tcPr>
            <w:tcW w:type="dxa" w:w="42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FinanceClient interface in the React application</w:t>
            </w:r>
          </w:p>
        </w:tc>
        <w:tc>
          <w:tcPr>
            <w:tcW w:type="dxa" w:w="51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LocalTauriFinanceClient is replaced by RemoteHttpFinanceClient; screens and workflows remain.</w:t>
            </w:r>
          </w:p>
        </w:tc>
      </w:tr>
      <w:tr>
        <w:tc>
          <w:tcPr>
            <w:tcW w:type="dxa" w:w="42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Application/domain crates independent of Tauri</w:t>
            </w:r>
          </w:p>
        </w:tc>
        <w:tc>
          <w:tcPr>
            <w:tcW w:type="dxa" w:w="51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The same crates run inside a server executable.</w:t>
            </w:r>
          </w:p>
        </w:tc>
      </w:tr>
      <w:tr>
        <w:tc>
          <w:tcPr>
            <w:tcW w:type="dxa" w:w="42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Repository ports owned by the core</w:t>
            </w:r>
          </w:p>
        </w:tc>
        <w:tc>
          <w:tcPr>
            <w:tcW w:type="dxa" w:w="51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SQLite repositories are supplemented by PostgreSQL repositories.</w:t>
            </w:r>
          </w:p>
        </w:tc>
      </w:tr>
      <w:tr>
        <w:tc>
          <w:tcPr>
            <w:tcW w:type="dxa" w:w="42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Versioned command/query DTOs</w:t>
            </w:r>
          </w:p>
        </w:tc>
        <w:tc>
          <w:tcPr>
            <w:tcW w:type="dxa" w:w="51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Tauri IPC DTOs become or generate versioned HTTP API contracts.</w:t>
            </w:r>
          </w:p>
        </w:tc>
      </w:tr>
      <w:tr>
        <w:tc>
          <w:tcPr>
            <w:tcW w:type="dxa" w:w="42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Stable canonical IDs and immutable events</w:t>
            </w:r>
          </w:p>
        </w:tc>
        <w:tc>
          <w:tcPr>
            <w:tcW w:type="dxa" w:w="51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Records retain identity when migrated from local to central authority.</w:t>
            </w:r>
          </w:p>
        </w:tc>
      </w:tr>
      <w:tr>
        <w:tc>
          <w:tcPr>
            <w:tcW w:type="dxa" w:w="42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Content-addressed evidence</w:t>
            </w:r>
          </w:p>
        </w:tc>
        <w:tc>
          <w:tcPr>
            <w:tcW w:type="dxa" w:w="51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Evidence migrates to object storage without changing transaction references.</w:t>
            </w:r>
          </w:p>
        </w:tc>
      </w:tr>
      <w:tr>
        <w:tc>
          <w:tcPr>
            <w:tcW w:type="dxa" w:w="42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Audit and approval components</w:t>
            </w:r>
          </w:p>
        </w:tc>
        <w:tc>
          <w:tcPr>
            <w:tcW w:type="dxa" w:w="51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User/device identity is added without redesigning financial facts.</w:t>
            </w:r>
          </w:p>
        </w:tc>
      </w:tr>
      <w:tr>
        <w:tc>
          <w:tcPr>
            <w:tcW w:type="dxa" w:w="42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Deterministic golden tests</w:t>
            </w:r>
          </w:p>
        </w:tc>
        <w:tc>
          <w:tcPr>
            <w:tcW w:type="dxa" w:w="51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The same business-rule suite validates both local and server deployments.</w:t>
            </w:r>
          </w:p>
        </w:tc>
      </w:tr>
    </w:tbl>
    <w:p>
      <w:pPr>
        <w:spacing w:after="20"/>
      </w:pPr>
    </w:p>
    <w:p>
      <w:pPr>
        <w:pStyle w:val="Heading2"/>
      </w:pPr>
      <w:r>
        <w:t>8.3 Concurrency and consistency</w:t>
      </w:r>
    </w:p>
    <w:p>
      <w:pPr>
        <w:pStyle w:val="ListBullet"/>
      </w:pPr>
      <w:r>
        <w:t>The centralized server is the only writer to PostgreSQL; clients submit commands rather than SQL.</w:t>
      </w:r>
    </w:p>
    <w:p>
      <w:pPr>
        <w:pStyle w:val="ListBullet"/>
      </w:pPr>
      <w:r>
        <w:t>Commands carry record/version expectations. Conflicting updates return a visible concurrency exception instead of last-write-wins data loss.</w:t>
      </w:r>
    </w:p>
    <w:p>
      <w:pPr>
        <w:pStyle w:val="ListBullet"/>
      </w:pPr>
      <w:r>
        <w:t>Multi-record financial changes execute within server-side database transactions.</w:t>
      </w:r>
    </w:p>
    <w:p>
      <w:pPr>
        <w:pStyle w:val="ListBullet"/>
      </w:pPr>
      <w:r>
        <w:t>An outbox pattern publishes cross-component events only after the authoritative transaction commits.</w:t>
      </w:r>
    </w:p>
    <w:p>
      <w:pPr>
        <w:pStyle w:val="ListBullet"/>
      </w:pPr>
      <w:r>
        <w:t>Read models may be cached, but every screen identifies freshness and can re-query authoritative results.</w:t>
      </w:r>
    </w:p>
    <w:p>
      <w:pPr>
        <w:pStyle w:val="ListBullet"/>
      </w:pPr>
      <w:r>
        <w:t>Administrative, import, approve, restore and ordinary edit permissions remain distinct even for a small initial user population.</w:t>
      </w:r>
    </w:p>
    <w:p>
      <w:pPr>
        <w:pStyle w:val="ListBullet"/>
      </w:pPr>
      <w:r>
        <w:t>Remote connectivity uses TLS; secrets and broker identifiers are excluded from logs, AI prompts and ordinary exports.</w:t>
      </w:r>
    </w:p>
    <w:p>
      <w:pPr>
        <w:pStyle w:val="Heading2"/>
      </w:pPr>
      <w:r>
        <w:t>8.4 Local-to-central migration stages</w:t>
      </w:r>
    </w:p>
    <w:p>
      <w:pPr>
        <w:pStyle w:val="ListNumber"/>
        <w:numPr>
          <w:ilvl w:val="0"/>
          <w:numId w:val="11"/>
        </w:numPr>
      </w:pPr>
      <w:r>
        <w:t>Run a centralized technical proof using the existing application core and a PostgreSQL repository adapter.</w:t>
      </w:r>
    </w:p>
    <w:p>
      <w:pPr>
        <w:pStyle w:val="ListNumber"/>
        <w:numPr>
          <w:ilvl w:val="0"/>
          <w:numId w:val="11"/>
        </w:numPr>
      </w:pPr>
      <w:r>
        <w:t>Add server identity, OIDC authentication, authorization and device/session records.</w:t>
      </w:r>
    </w:p>
    <w:p>
      <w:pPr>
        <w:pStyle w:val="ListNumber"/>
        <w:numPr>
          <w:ilvl w:val="0"/>
          <w:numId w:val="11"/>
        </w:numPr>
      </w:pPr>
      <w:r>
        <w:t>Create a verified migration package from the latest local snapshot and import it into PostgreSQL.</w:t>
      </w:r>
    </w:p>
    <w:p>
      <w:pPr>
        <w:pStyle w:val="ListNumber"/>
        <w:numPr>
          <w:ilvl w:val="0"/>
          <w:numId w:val="11"/>
        </w:numPr>
      </w:pPr>
      <w:r>
        <w:t>Reconcile counts, quantities, money, basis, evidence hashes, versions and audit history before authority changes.</w:t>
      </w:r>
    </w:p>
    <w:p>
      <w:pPr>
        <w:pStyle w:val="ListNumber"/>
        <w:numPr>
          <w:ilvl w:val="0"/>
          <w:numId w:val="11"/>
        </w:numPr>
      </w:pPr>
      <w:r>
        <w:t>Switch the designated desktop client from LocalTauriFinanceClient to RemoteHttpFinanceClient.</w:t>
      </w:r>
    </w:p>
    <w:p>
      <w:pPr>
        <w:pStyle w:val="ListNumber"/>
        <w:numPr>
          <w:ilvl w:val="0"/>
          <w:numId w:val="11"/>
        </w:numPr>
      </w:pPr>
      <w:r>
        <w:t>Run local and central systems read-only in parallel long enough to compare critical calculations and views.</w:t>
      </w:r>
    </w:p>
    <w:p>
      <w:pPr>
        <w:pStyle w:val="ListNumber"/>
        <w:numPr>
          <w:ilvl w:val="0"/>
          <w:numId w:val="11"/>
        </w:numPr>
      </w:pPr>
      <w:r>
        <w:t>Record an explicit authority-cutover event; the local database becomes a recoverable export/cache, not an independent writer.</w:t>
      </w:r>
    </w:p>
    <w:p>
      <w:pPr>
        <w:pStyle w:val="ListNumber"/>
        <w:numPr>
          <w:ilvl w:val="0"/>
          <w:numId w:val="11"/>
        </w:numPr>
      </w:pPr>
      <w:r>
        <w:t>Add additional desktop and web clients after transaction, permission, backup and concurrency acceptance tests pass.</w:t>
      </w:r>
    </w:p>
    <w:p>
      <w:pPr>
        <w:pStyle w:val="Heading2"/>
      </w:pPr>
      <w:r>
        <w:t>8.5 What is not required for V1</w:t>
      </w:r>
    </w:p>
    <w:p>
      <w:pPr>
        <w:pStyle w:val="ListBullet"/>
      </w:pPr>
      <w:r>
        <w:t>No microservice fleet. Begin with a modular server application and extract only components that demonstrate independent scale or security needs.</w:t>
      </w:r>
    </w:p>
    <w:p>
      <w:pPr>
        <w:pStyle w:val="ListBullet"/>
      </w:pPr>
      <w:r>
        <w:t>No Kubernetes requirement. A single governed server deployment is sufficient until operational evidence justifies orchestration.</w:t>
      </w:r>
    </w:p>
    <w:p>
      <w:pPr>
        <w:pStyle w:val="ListBullet"/>
      </w:pPr>
      <w:r>
        <w:t>No Kafka or distributed event bus. Use database transactions and an outbox/job mechanism first.</w:t>
      </w:r>
    </w:p>
    <w:p>
      <w:pPr>
        <w:pStyle w:val="ListBullet"/>
      </w:pPr>
      <w:r>
        <w:t>No live synchronization of SQLite files.</w:t>
      </w:r>
    </w:p>
    <w:p>
      <w:pPr>
        <w:pStyle w:val="ListBullet"/>
      </w:pPr>
      <w:r>
        <w:t>No automatic conflict merge of financial transactions.</w:t>
      </w:r>
    </w:p>
    <w:p>
      <w:pPr>
        <w:pStyle w:val="ListBullet"/>
      </w:pPr>
      <w:r>
        <w:t>No concurrent offline editing. If later required, design a dedicated change journal, conflict policy and security model.</w:t>
      </w:r>
    </w:p>
    <w:p>
      <w:pPr>
        <w:pStyle w:val="Heading1"/>
      </w:pPr>
      <w:r>
        <w:t>9. Application security and operational controls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3430"/>
        <w:gridCol w:w="3430"/>
      </w:tblGrid>
      <w:tr>
        <w:trPr>
          <w:tblHeader w:val="true"/>
        </w:trPr>
        <w:tc>
          <w:tcPr>
            <w:tcW w:type="dxa" w:w="2500"/>
            <w:shd w:fill="17365D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/>
                <w:b/>
                <w:color w:val="FFFFFF"/>
                <w:sz w:val="17"/>
              </w:rPr>
              <w:t>Control</w:t>
            </w:r>
          </w:p>
        </w:tc>
        <w:tc>
          <w:tcPr>
            <w:tcW w:type="dxa" w:w="3430"/>
            <w:shd w:fill="17365D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/>
                <w:b/>
                <w:color w:val="FFFFFF"/>
                <w:sz w:val="17"/>
              </w:rPr>
              <w:t>Desktop-local</w:t>
            </w:r>
          </w:p>
        </w:tc>
        <w:tc>
          <w:tcPr>
            <w:tcW w:type="dxa" w:w="3430"/>
            <w:shd w:fill="17365D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/>
                <w:b/>
                <w:color w:val="FFFFFF"/>
                <w:sz w:val="17"/>
              </w:rPr>
              <w:t>Centralized</w:t>
            </w:r>
          </w:p>
        </w:tc>
      </w:tr>
      <w:tr>
        <w:tc>
          <w:tcPr>
            <w:tcW w:type="dxa" w:w="25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Secrets</w:t>
            </w:r>
          </w:p>
        </w:tc>
        <w:tc>
          <w:tcPr>
            <w:tcW w:type="dxa" w:w="343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Operating-system credential vault; never ordinary config/database fields.</w:t>
            </w:r>
          </w:p>
        </w:tc>
        <w:tc>
          <w:tcPr>
            <w:tcW w:type="dxa" w:w="343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Server secret manager plus client token storage in OS vault.</w:t>
            </w:r>
          </w:p>
        </w:tc>
      </w:tr>
      <w:tr>
        <w:tc>
          <w:tcPr>
            <w:tcW w:type="dxa" w:w="25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Authentication</w:t>
            </w:r>
          </w:p>
        </w:tc>
        <w:tc>
          <w:tcPr>
            <w:tcW w:type="dxa" w:w="343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Owner/device session boundary and approval roles.</w:t>
            </w:r>
          </w:p>
        </w:tc>
        <w:tc>
          <w:tcPr>
            <w:tcW w:type="dxa" w:w="343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OIDC authentication, sessions, devices, roles and permissions.</w:t>
            </w:r>
          </w:p>
        </w:tc>
      </w:tr>
      <w:tr>
        <w:tc>
          <w:tcPr>
            <w:tcW w:type="dxa" w:w="25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Database protection</w:t>
            </w:r>
          </w:p>
        </w:tc>
        <w:tc>
          <w:tcPr>
            <w:tcW w:type="dxa" w:w="343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Local filesystem permissions, full-disk encryption recommendation and encrypted backups.</w:t>
            </w:r>
          </w:p>
        </w:tc>
        <w:tc>
          <w:tcPr>
            <w:tcW w:type="dxa" w:w="343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Network isolation, TLS, database roles, encryption and audited administration.</w:t>
            </w:r>
          </w:p>
        </w:tc>
      </w:tr>
      <w:tr>
        <w:tc>
          <w:tcPr>
            <w:tcW w:type="dxa" w:w="25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Updates</w:t>
            </w:r>
          </w:p>
        </w:tc>
        <w:tc>
          <w:tcPr>
            <w:tcW w:type="dxa" w:w="343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Signed desktop releases; verified migration before startup.</w:t>
            </w:r>
          </w:p>
        </w:tc>
        <w:tc>
          <w:tcPr>
            <w:tcW w:type="dxa" w:w="343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Signed clients plus versioned server deployment and backward-compatible API window.</w:t>
            </w:r>
          </w:p>
        </w:tc>
      </w:tr>
      <w:tr>
        <w:tc>
          <w:tcPr>
            <w:tcW w:type="dxa" w:w="25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Evidence</w:t>
            </w:r>
          </w:p>
        </w:tc>
        <w:tc>
          <w:tcPr>
            <w:tcW w:type="dxa" w:w="343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Hashes, source metadata and controlled local retention.</w:t>
            </w:r>
          </w:p>
        </w:tc>
        <w:tc>
          <w:tcPr>
            <w:tcW w:type="dxa" w:w="343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Encrypted object storage, retention policy and access audit.</w:t>
            </w:r>
          </w:p>
        </w:tc>
      </w:tr>
      <w:tr>
        <w:tc>
          <w:tcPr>
            <w:tcW w:type="dxa" w:w="25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Recovery</w:t>
            </w:r>
          </w:p>
        </w:tc>
        <w:tc>
          <w:tcPr>
            <w:tcW w:type="dxa" w:w="343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Immutable snapshots, integrity checks and test restore.</w:t>
            </w:r>
          </w:p>
        </w:tc>
        <w:tc>
          <w:tcPr>
            <w:tcW w:type="dxa" w:w="343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Database backups/PITR, object-store recovery and full-system restore testing.</w:t>
            </w:r>
          </w:p>
        </w:tc>
      </w:tr>
    </w:tbl>
    <w:p>
      <w:pPr>
        <w:spacing w:after="20"/>
      </w:pPr>
    </w:p>
    <w:p>
      <w:pPr>
        <w:pStyle w:val="Heading1"/>
      </w:pPr>
      <w:r>
        <w:t>10. Repository and build structure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rPr>
          <w:tblHeader w:val="true"/>
        </w:trPr>
        <w:tc>
          <w:tcPr>
            <w:tcW w:type="dxa" w:w="3600"/>
            <w:shd w:fill="17365D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/>
                <w:b/>
                <w:color w:val="FFFFFF"/>
                <w:sz w:val="17"/>
              </w:rPr>
              <w:t>Path</w:t>
            </w:r>
          </w:p>
        </w:tc>
        <w:tc>
          <w:tcPr>
            <w:tcW w:type="dxa" w:w="5760"/>
            <w:shd w:fill="17365D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/>
                <w:b/>
                <w:color w:val="FFFFFF"/>
                <w:sz w:val="17"/>
              </w:rPr>
              <w:t>Responsibility</w:t>
            </w:r>
          </w:p>
        </w:tc>
      </w:tr>
      <w:tr>
        <w:tc>
          <w:tcPr>
            <w:tcW w:type="dxa" w:w="3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apps/desktop</w:t>
            </w:r>
          </w:p>
        </w:tc>
        <w:tc>
          <w:tcPr>
            <w:tcW w:type="dxa" w:w="5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React/Tauri desktop application and LocalTauriFinanceClient adapter.</w:t>
            </w:r>
          </w:p>
        </w:tc>
      </w:tr>
      <w:tr>
        <w:tc>
          <w:tcPr>
            <w:tcW w:type="dxa" w:w="3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apps/web (future)</w:t>
            </w:r>
          </w:p>
        </w:tc>
        <w:tc>
          <w:tcPr>
            <w:tcW w:type="dxa" w:w="5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React web client using RemoteHttpFinanceClient.</w:t>
            </w:r>
          </w:p>
        </w:tc>
      </w:tr>
      <w:tr>
        <w:tc>
          <w:tcPr>
            <w:tcW w:type="dxa" w:w="3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services/server (future)</w:t>
            </w:r>
          </w:p>
        </w:tc>
        <w:tc>
          <w:tcPr>
            <w:tcW w:type="dxa" w:w="5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Central Rust application server and HTTP adapter.</w:t>
            </w:r>
          </w:p>
        </w:tc>
      </w:tr>
      <w:tr>
        <w:tc>
          <w:tcPr>
            <w:tcW w:type="dxa" w:w="3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crates/financial-domain</w:t>
            </w:r>
          </w:p>
        </w:tc>
        <w:tc>
          <w:tcPr>
            <w:tcW w:type="dxa" w:w="5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Entities, values, calculations and policies with no framework dependencies.</w:t>
            </w:r>
          </w:p>
        </w:tc>
      </w:tr>
      <w:tr>
        <w:tc>
          <w:tcPr>
            <w:tcW w:type="dxa" w:w="3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crates/application-core</w:t>
            </w:r>
          </w:p>
        </w:tc>
        <w:tc>
          <w:tcPr>
            <w:tcW w:type="dxa" w:w="5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Commands, queries, use cases, ports and orchestration.</w:t>
            </w:r>
          </w:p>
        </w:tc>
      </w:tr>
      <w:tr>
        <w:tc>
          <w:tcPr>
            <w:tcW w:type="dxa" w:w="3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crates/storage-sqlite</w:t>
            </w:r>
          </w:p>
        </w:tc>
        <w:tc>
          <w:tcPr>
            <w:tcW w:type="dxa" w:w="5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Local repositories and migrations.</w:t>
            </w:r>
          </w:p>
        </w:tc>
      </w:tr>
      <w:tr>
        <w:tc>
          <w:tcPr>
            <w:tcW w:type="dxa" w:w="3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crates/storage-postgres (future)</w:t>
            </w:r>
          </w:p>
        </w:tc>
        <w:tc>
          <w:tcPr>
            <w:tcW w:type="dxa" w:w="5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Central repositories and migrations.</w:t>
            </w:r>
          </w:p>
        </w:tc>
      </w:tr>
      <w:tr>
        <w:tc>
          <w:tcPr>
            <w:tcW w:type="dxa" w:w="3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crates/import-engine</w:t>
            </w:r>
          </w:p>
        </w:tc>
        <w:tc>
          <w:tcPr>
            <w:tcW w:type="dxa" w:w="5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Source staging, mapping, validation, idempotency and reconciliation.</w:t>
            </w:r>
          </w:p>
        </w:tc>
      </w:tr>
      <w:tr>
        <w:tc>
          <w:tcPr>
            <w:tcW w:type="dxa" w:w="3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crates/snapshot-service</w:t>
            </w:r>
          </w:p>
        </w:tc>
        <w:tc>
          <w:tcPr>
            <w:tcW w:type="dxa" w:w="5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Backup bundles, hashes, lineage, handoff and restore.</w:t>
            </w:r>
          </w:p>
        </w:tc>
      </w:tr>
      <w:tr>
        <w:tc>
          <w:tcPr>
            <w:tcW w:type="dxa" w:w="3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packages/app-contracts</w:t>
            </w:r>
          </w:p>
        </w:tc>
        <w:tc>
          <w:tcPr>
            <w:tcW w:type="dxa" w:w="5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Generated/shared TypeScript command/query types.</w:t>
            </w:r>
          </w:p>
        </w:tc>
      </w:tr>
      <w:tr>
        <w:tc>
          <w:tcPr>
            <w:tcW w:type="dxa" w:w="3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packages/ui-components</w:t>
            </w:r>
          </w:p>
        </w:tc>
        <w:tc>
          <w:tcPr>
            <w:tcW w:type="dxa" w:w="5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Governed design system and reusable financial UI components.</w:t>
            </w:r>
          </w:p>
        </w:tc>
      </w:tr>
      <w:tr>
        <w:tc>
          <w:tcPr>
            <w:tcW w:type="dxa" w:w="3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workers/python-connectors</w:t>
            </w:r>
          </w:p>
        </w:tc>
        <w:tc>
          <w:tcPr>
            <w:tcW w:type="dxa" w:w="5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Optional provider-specific retrieval and analytical jobs.</w:t>
            </w:r>
          </w:p>
        </w:tc>
      </w:tr>
      <w:tr>
        <w:tc>
          <w:tcPr>
            <w:tcW w:type="dxa" w:w="3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database/seed and tests/golden</w:t>
            </w:r>
          </w:p>
        </w:tc>
        <w:tc>
          <w:tcPr>
            <w:tcW w:type="dxa" w:w="5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Migration data, deterministic cases and cross-engine reconciliation fixtures.</w:t>
            </w:r>
          </w:p>
        </w:tc>
      </w:tr>
      <w:tr>
        <w:tc>
          <w:tcPr>
            <w:tcW w:type="dxa" w:w="3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docs/architecture and docs/adr</w:t>
            </w:r>
          </w:p>
        </w:tc>
        <w:tc>
          <w:tcPr>
            <w:tcW w:type="dxa" w:w="5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Governing architecture, decisions, requirements and acceptance evidence.</w:t>
            </w:r>
          </w:p>
        </w:tc>
      </w:tr>
    </w:tbl>
    <w:p>
      <w:pPr>
        <w:spacing w:after="20"/>
      </w:pPr>
    </w:p>
    <w:p>
      <w:pPr>
        <w:pStyle w:val="Heading1"/>
      </w:pPr>
      <w:r>
        <w:t>11. Golden Business Outcome Harness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2F0D9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17365D"/>
              </w:rPr>
              <w:t xml:space="preserve">Required proof capability  </w:t>
            </w:r>
            <w:r>
              <w:t>The application must prove owner-level financial outcomes, not merely that individual functions returned values. The Golden Business Outcome Harness executes approved scenarios through the same application and financial-domain services used in production, compares every material intermediate and final result with independently approved expectations, and produces a human-readable evidence report.</w:t>
            </w:r>
          </w:p>
        </w:tc>
      </w:tr>
    </w:tbl>
    <w:p>
      <w:pPr>
        <w:spacing w:after="20"/>
      </w:pPr>
    </w:p>
    <w:p>
      <w:r>
        <w:t>The harness is a release-control component shared by local desktop, centralized server, migration, restore and calculation-version validation. It establishes repeatable evidence for questions such as: Given everything known as of a stated date, what is projected Marketplace household MAGI, what headroom remains, how uncertain is the forecast, and which recorded facts and rules caused the answer?</w:t>
      </w:r>
    </w:p>
    <w:p>
      <w:pPr>
        <w:pStyle w:val="Heading2"/>
      </w:pPr>
      <w:r>
        <w:t>11.1 Proof boundary and decision states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17365D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/>
                <w:b/>
                <w:color w:val="FFFFFF"/>
                <w:sz w:val="17"/>
              </w:rPr>
              <w:t>Harness must prove</w:t>
            </w:r>
          </w:p>
        </w:tc>
        <w:tc>
          <w:tcPr>
            <w:tcW w:type="dxa" w:w="4680"/>
            <w:shd w:fill="17365D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/>
                <w:b/>
                <w:color w:val="FFFFFF"/>
                <w:sz w:val="17"/>
              </w:rPr>
              <w:t>Harness must not claim</w:t>
            </w:r>
          </w:p>
        </w:tc>
      </w:tr>
      <w:tr>
        <w:tc>
          <w:tcPr>
            <w:tcW w:type="dxa" w:w="468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All captured facts were classified, included or excluded under an identified effective-dated rule.</w:t>
            </w:r>
          </w:p>
        </w:tc>
        <w:tc>
          <w:tcPr>
            <w:tcW w:type="dxa" w:w="468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That an unknown future dividend, distribution, gain, correction or tax characterization cannot occur.</w:t>
            </w:r>
          </w:p>
        </w:tc>
      </w:tr>
      <w:tr>
        <w:tc>
          <w:tcPr>
            <w:tcW w:type="dxa" w:w="468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Approved assumptions, forecast ranges, safety reserve and data-completeness status are visible.</w:t>
            </w:r>
          </w:p>
        </w:tc>
        <w:tc>
          <w:tcPr>
            <w:tcW w:type="dxa" w:w="468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That a point forecast is a guarantee or professional tax advice.</w:t>
            </w:r>
          </w:p>
        </w:tc>
      </w:tr>
      <w:tr>
        <w:tc>
          <w:tcPr>
            <w:tcW w:type="dxa" w:w="468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The same inputs, rule version and calculation version reproduce the same result.</w:t>
            </w:r>
          </w:p>
        </w:tc>
        <w:tc>
          <w:tcPr>
            <w:tcW w:type="dxa" w:w="468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That a green status is valid when required inputs are missing or unresolved.</w:t>
            </w:r>
          </w:p>
        </w:tc>
      </w:tr>
      <w:tr>
        <w:tc>
          <w:tcPr>
            <w:tcW w:type="dxa" w:w="468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Every total drills down to source transactions, adjustments and classification rationale.</w:t>
            </w:r>
          </w:p>
        </w:tc>
        <w:tc>
          <w:tcPr>
            <w:tcW w:type="dxa" w:w="468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That a test passes merely because the UI displays the expected final number.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17365D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/>
                <w:b/>
                <w:color w:val="FFFFFF"/>
                <w:sz w:val="17"/>
              </w:rPr>
              <w:t>Decision state</w:t>
            </w:r>
          </w:p>
        </w:tc>
        <w:tc>
          <w:tcPr>
            <w:tcW w:type="dxa" w:w="7160"/>
            <w:shd w:fill="17365D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/>
                <w:b/>
                <w:color w:val="FFFFFF"/>
                <w:sz w:val="17"/>
              </w:rPr>
              <w:t>Required meaning</w:t>
            </w:r>
          </w:p>
        </w:tc>
      </w:tr>
      <w:tr>
        <w:tc>
          <w:tcPr>
            <w:tcW w:type="dxa" w:w="22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SAFE</w:t>
            </w:r>
          </w:p>
        </w:tc>
        <w:tc>
          <w:tcPr>
            <w:tcW w:type="dxa" w:w="71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The conservative projection remains below the applicable threshold after the approved safety reserve, and required data is complete.</w:t>
            </w:r>
          </w:p>
        </w:tc>
      </w:tr>
      <w:tr>
        <w:tc>
          <w:tcPr>
            <w:tcW w:type="dxa" w:w="22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WATCH</w:t>
            </w:r>
          </w:p>
        </w:tc>
        <w:tc>
          <w:tcPr>
            <w:tcW w:type="dxa" w:w="71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The base case remains below the threshold, but uncertainty, trend or protected headroom requires attention.</w:t>
            </w:r>
          </w:p>
        </w:tc>
      </w:tr>
      <w:tr>
        <w:tc>
          <w:tcPr>
            <w:tcW w:type="dxa" w:w="22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LIKELY OVER</w:t>
            </w:r>
          </w:p>
        </w:tc>
        <w:tc>
          <w:tcPr>
            <w:tcW w:type="dxa" w:w="71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The conservative or most-supported projection exceeds the threshold even though the year is not final.</w:t>
            </w:r>
          </w:p>
        </w:tc>
      </w:tr>
      <w:tr>
        <w:tc>
          <w:tcPr>
            <w:tcW w:type="dxa" w:w="22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OVER</w:t>
            </w:r>
          </w:p>
        </w:tc>
        <w:tc>
          <w:tcPr>
            <w:tcW w:type="dxa" w:w="71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Recorded actual-to-date qualifying income has exceeded the threshold.</w:t>
            </w:r>
          </w:p>
        </w:tc>
      </w:tr>
      <w:tr>
        <w:tc>
          <w:tcPr>
            <w:tcW w:type="dxa" w:w="22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INDETERMINATE</w:t>
            </w:r>
          </w:p>
        </w:tc>
        <w:tc>
          <w:tcPr>
            <w:tcW w:type="dxa" w:w="71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Missing, conflicting or unapproved classifications prevent a defensible conclusion; the system must not substitute zero or display SAFE.</w:t>
            </w:r>
          </w:p>
        </w:tc>
      </w:tr>
    </w:tbl>
    <w:p>
      <w:pPr>
        <w:spacing w:after="20"/>
      </w:pPr>
    </w:p>
    <w:p>
      <w:pPr>
        <w:pStyle w:val="Heading2"/>
      </w:pPr>
      <w:r>
        <w:t>11.2 Harness architecture and evidence contract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6260"/>
      </w:tblGrid>
      <w:tr>
        <w:trPr>
          <w:tblHeader w:val="true"/>
        </w:trPr>
        <w:tc>
          <w:tcPr>
            <w:tcW w:type="dxa" w:w="3100"/>
            <w:shd w:fill="17365D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/>
                <w:b/>
                <w:color w:val="FFFFFF"/>
                <w:sz w:val="17"/>
              </w:rPr>
              <w:t>Harness component</w:t>
            </w:r>
          </w:p>
        </w:tc>
        <w:tc>
          <w:tcPr>
            <w:tcW w:type="dxa" w:w="6260"/>
            <w:shd w:fill="17365D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/>
                <w:b/>
                <w:color w:val="FFFFFF"/>
                <w:sz w:val="17"/>
              </w:rPr>
              <w:t>Required responsibility</w:t>
            </w:r>
          </w:p>
        </w:tc>
      </w:tr>
      <w:tr>
        <w:tc>
          <w:tcPr>
            <w:tcW w:type="dxa" w:w="31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Golden scenario registry</w:t>
            </w:r>
          </w:p>
        </w:tc>
        <w:tc>
          <w:tcPr>
            <w:tcW w:type="dxa" w:w="62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Version-controlled, human-readable scenario files with stable IDs, requirement links, as-of date, rule version and owner approval.</w:t>
            </w:r>
          </w:p>
        </w:tc>
      </w:tr>
      <w:tr>
        <w:tc>
          <w:tcPr>
            <w:tcW w:type="dxa" w:w="31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Production-path driver</w:t>
            </w:r>
          </w:p>
        </w:tc>
        <w:tc>
          <w:tcPr>
            <w:tcW w:type="dxa" w:w="62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Invokes the same commands, calculation services and domain policies used by the application; no duplicate test-only business formula.</w:t>
            </w:r>
          </w:p>
        </w:tc>
      </w:tr>
      <w:tr>
        <w:tc>
          <w:tcPr>
            <w:tcW w:type="dxa" w:w="31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Independent expected oracle</w:t>
            </w:r>
          </w:p>
        </w:tc>
        <w:tc>
          <w:tcPr>
            <w:tcW w:type="dxa" w:w="62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Stores manually reviewed expected inclusions, exclusions, subtotals, range and final status; expected values are never regenerated by the code under test.</w:t>
            </w:r>
          </w:p>
        </w:tc>
      </w:tr>
      <w:tr>
        <w:tc>
          <w:tcPr>
            <w:tcW w:type="dxa" w:w="31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Trace comparator</w:t>
            </w:r>
          </w:p>
        </w:tc>
        <w:tc>
          <w:tcPr>
            <w:tcW w:type="dxa" w:w="62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Compares inputs, classifications, intermediate subtotals, precision/rounding, output and warnings—not only the final number.</w:t>
            </w:r>
          </w:p>
        </w:tc>
      </w:tr>
      <w:tr>
        <w:tc>
          <w:tcPr>
            <w:tcW w:type="dxa" w:w="31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Evidence reporter</w:t>
            </w:r>
          </w:p>
        </w:tc>
        <w:tc>
          <w:tcPr>
            <w:tcW w:type="dxa" w:w="62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Produces owner-readable pass/fail evidence with actual versus expected values, source/rule references, assumptions, unresolved items and build identity.</w:t>
            </w:r>
          </w:p>
        </w:tc>
      </w:tr>
      <w:tr>
        <w:tc>
          <w:tcPr>
            <w:tcW w:type="dxa" w:w="31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Release gate</w:t>
            </w:r>
          </w:p>
        </w:tc>
        <w:tc>
          <w:tcPr>
            <w:tcW w:type="dxa" w:w="62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Blocks release, migration, restore or centralized cutover when a required golden case changes unexpectedly or required evidence is incomplete.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rPr>
          <w:tblHeader w:val="true"/>
        </w:trPr>
        <w:tc>
          <w:tcPr>
            <w:tcW w:type="dxa" w:w="3600"/>
            <w:shd w:fill="17365D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/>
                <w:b/>
                <w:color w:val="FFFFFF"/>
                <w:sz w:val="17"/>
              </w:rPr>
              <w:t>Required scenario field</w:t>
            </w:r>
          </w:p>
        </w:tc>
        <w:tc>
          <w:tcPr>
            <w:tcW w:type="dxa" w:w="5760"/>
            <w:shd w:fill="17365D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/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scenario_id / scenario_version</w:t>
            </w:r>
          </w:p>
        </w:tc>
        <w:tc>
          <w:tcPr>
            <w:tcW w:type="dxa" w:w="5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Stable identity and controlled evolution.</w:t>
            </w:r>
          </w:p>
        </w:tc>
      </w:tr>
      <w:tr>
        <w:tc>
          <w:tcPr>
            <w:tcW w:type="dxa" w:w="3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business_question / requirement_ids</w:t>
            </w:r>
          </w:p>
        </w:tc>
        <w:tc>
          <w:tcPr>
            <w:tcW w:type="dxa" w:w="5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Links the test to the owner outcome and governing requirements.</w:t>
            </w:r>
          </w:p>
        </w:tc>
      </w:tr>
      <w:tr>
        <w:tc>
          <w:tcPr>
            <w:tcW w:type="dxa" w:w="3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as_of_date / coverage_year</w:t>
            </w:r>
          </w:p>
        </w:tc>
        <w:tc>
          <w:tcPr>
            <w:tcW w:type="dxa" w:w="5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Prevents present-day rules or future events from contaminating historical cases.</w:t>
            </w:r>
          </w:p>
        </w:tc>
      </w:tr>
      <w:tr>
        <w:tc>
          <w:tcPr>
            <w:tcW w:type="dxa" w:w="3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input_facts / provenance</w:t>
            </w:r>
          </w:p>
        </w:tc>
        <w:tc>
          <w:tcPr>
            <w:tcW w:type="dxa" w:w="5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Synthetic or approved snapshot facts with source identity and completeness status.</w:t>
            </w:r>
          </w:p>
        </w:tc>
      </w:tr>
      <w:tr>
        <w:tc>
          <w:tcPr>
            <w:tcW w:type="dxa" w:w="3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rule_set_id / calculation_version</w:t>
            </w:r>
          </w:p>
        </w:tc>
        <w:tc>
          <w:tcPr>
            <w:tcW w:type="dxa" w:w="5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Identifies the effective-dated policy and executable logic.</w:t>
            </w:r>
          </w:p>
        </w:tc>
      </w:tr>
      <w:tr>
        <w:tc>
          <w:tcPr>
            <w:tcW w:type="dxa" w:w="3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expected_included / expected_excluded</w:t>
            </w:r>
          </w:p>
        </w:tc>
        <w:tc>
          <w:tcPr>
            <w:tcW w:type="dxa" w:w="5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Makes classification decisions directly reviewable.</w:t>
            </w:r>
          </w:p>
        </w:tc>
      </w:tr>
      <w:tr>
        <w:tc>
          <w:tcPr>
            <w:tcW w:type="dxa" w:w="3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expected_subtotals / expected_range</w:t>
            </w:r>
          </w:p>
        </w:tc>
        <w:tc>
          <w:tcPr>
            <w:tcW w:type="dxa" w:w="5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Validates the calculation path and uncertainty model.</w:t>
            </w:r>
          </w:p>
        </w:tc>
      </w:tr>
      <w:tr>
        <w:tc>
          <w:tcPr>
            <w:tcW w:type="dxa" w:w="3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expected_status / expected_warnings</w:t>
            </w:r>
          </w:p>
        </w:tc>
        <w:tc>
          <w:tcPr>
            <w:tcW w:type="dxa" w:w="5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Validates the decision-support behavior.</w:t>
            </w:r>
          </w:p>
        </w:tc>
      </w:tr>
      <w:tr>
        <w:tc>
          <w:tcPr>
            <w:tcW w:type="dxa" w:w="3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tolerance / precision_policy</w:t>
            </w:r>
          </w:p>
        </w:tc>
        <w:tc>
          <w:tcPr>
            <w:tcW w:type="dxa" w:w="5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Uses exact fixed-scale comparison unless a documented domain tolerance is required.</w:t>
            </w:r>
          </w:p>
        </w:tc>
      </w:tr>
      <w:tr>
        <w:tc>
          <w:tcPr>
            <w:tcW w:type="dxa" w:w="3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approval / rationale / approved_at</w:t>
            </w:r>
          </w:p>
        </w:tc>
        <w:tc>
          <w:tcPr>
            <w:tcW w:type="dxa" w:w="5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Prevents silent golden-answer changes and records why the expectation is authoritative.</w:t>
            </w:r>
          </w:p>
        </w:tc>
      </w:tr>
    </w:tbl>
    <w:p>
      <w:pPr>
        <w:spacing w:after="20"/>
      </w:pPr>
    </w:p>
    <w:p>
      <w:pPr>
        <w:pStyle w:val="Heading2"/>
      </w:pPr>
      <w:r>
        <w:t>11.3 Required test levels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400"/>
        <w:gridCol w:w="4060"/>
      </w:tblGrid>
      <w:tr>
        <w:trPr>
          <w:tblHeader w:val="true"/>
        </w:trPr>
        <w:tc>
          <w:tcPr>
            <w:tcW w:type="dxa" w:w="1900"/>
            <w:shd w:fill="17365D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/>
                <w:b/>
                <w:color w:val="FFFFFF"/>
                <w:sz w:val="17"/>
              </w:rPr>
              <w:t>Level</w:t>
            </w:r>
          </w:p>
        </w:tc>
        <w:tc>
          <w:tcPr>
            <w:tcW w:type="dxa" w:w="3400"/>
            <w:shd w:fill="17365D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/>
                <w:b/>
                <w:color w:val="FFFFFF"/>
                <w:sz w:val="17"/>
              </w:rPr>
              <w:t>Coverage</w:t>
            </w:r>
          </w:p>
        </w:tc>
        <w:tc>
          <w:tcPr>
            <w:tcW w:type="dxa" w:w="4060"/>
            <w:shd w:fill="17365D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/>
                <w:b/>
                <w:color w:val="FFFFFF"/>
                <w:sz w:val="17"/>
              </w:rPr>
              <w:t>Examples</w:t>
            </w:r>
          </w:p>
        </w:tc>
      </w:tr>
      <w:tr>
        <w:tc>
          <w:tcPr>
            <w:tcW w:type="dxa" w:w="19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L0 — Invariants</w:t>
            </w:r>
          </w:p>
        </w:tc>
        <w:tc>
          <w:tcPr>
            <w:tcW w:type="dxa" w:w="34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Rules that must always hold.</w:t>
            </w:r>
          </w:p>
        </w:tc>
        <w:tc>
          <w:tcPr>
            <w:tcW w:type="dxa" w:w="40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No unintended FIFO; no duplicate posting; canonical Saturday–Friday week; no silent unknown-to-zero conversion.</w:t>
            </w:r>
          </w:p>
        </w:tc>
      </w:tr>
      <w:tr>
        <w:tc>
          <w:tcPr>
            <w:tcW w:type="dxa" w:w="19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L1 — Golden calculations</w:t>
            </w:r>
          </w:p>
        </w:tc>
        <w:tc>
          <w:tcPr>
            <w:tcW w:type="dxa" w:w="34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Deterministic business calculations independent of UI and infrastructure.</w:t>
            </w:r>
          </w:p>
        </w:tc>
        <w:tc>
          <w:tcPr>
            <w:tcW w:type="dxa" w:w="40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Marketplace MAGI, dividend projection, ROI components, basis, burndown, allocation and backtesting metrics.</w:t>
            </w:r>
          </w:p>
        </w:tc>
      </w:tr>
      <w:tr>
        <w:tc>
          <w:tcPr>
            <w:tcW w:type="dxa" w:w="19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L2 — Component workflows</w:t>
            </w:r>
          </w:p>
        </w:tc>
        <w:tc>
          <w:tcPr>
            <w:tcW w:type="dxa" w:w="34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Commands and events across bounded components.</w:t>
            </w:r>
          </w:p>
        </w:tc>
        <w:tc>
          <w:tcPr>
            <w:tcW w:type="dxa" w:w="40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Import → stage → validate → approve → post → recalculate → audit.</w:t>
            </w:r>
          </w:p>
        </w:tc>
      </w:tr>
      <w:tr>
        <w:tc>
          <w:tcPr>
            <w:tcW w:type="dxa" w:w="19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L3 — Owner journeys</w:t>
            </w:r>
          </w:p>
        </w:tc>
        <w:tc>
          <w:tcPr>
            <w:tcW w:type="dxa" w:w="34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End-to-end questions expressed in business language.</w:t>
            </w:r>
          </w:p>
        </w:tc>
        <w:tc>
          <w:tcPr>
            <w:tcW w:type="dxa" w:w="40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Will I cross the Marketplace threshold? Can planned income fund the forward cash horizon? What is the impact of an exit/replacement?</w:t>
            </w:r>
          </w:p>
        </w:tc>
      </w:tr>
      <w:tr>
        <w:tc>
          <w:tcPr>
            <w:tcW w:type="dxa" w:w="19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L4 — Recovery and portability</w:t>
            </w:r>
          </w:p>
        </w:tc>
        <w:tc>
          <w:tcPr>
            <w:tcW w:type="dxa" w:w="34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Result preservation across operational changes.</w:t>
            </w:r>
          </w:p>
        </w:tc>
        <w:tc>
          <w:tcPr>
            <w:tcW w:type="dxa" w:w="40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Backup/restore, device handoff, schema migration, Windows/macOS and SQLite/PostgreSQL reconciliation.</w:t>
            </w:r>
          </w:p>
        </w:tc>
      </w:tr>
    </w:tbl>
    <w:p>
      <w:pPr>
        <w:spacing w:after="20"/>
      </w:pPr>
    </w:p>
    <w:p>
      <w:pPr>
        <w:pStyle w:val="Heading2"/>
      </w:pPr>
      <w:r>
        <w:t>11.4 First locked golden pack — 2026 Marketplace MAGI</w:t>
      </w:r>
    </w:p>
    <w:p>
      <w:r>
        <w:t>The first golden pack will validate the Marketplace Premium Tax Credit risk question because it exercises transaction classification, tax treatment, rule versioning, forecasting, uncertainty, warnings, traceability and owner-level decision support. The working 2026 example for a tax family of two in the contiguous United States or D.C. is derived—not hardcoded—as 2025 HHS poverty guideline $21,150 × 400% = $84,600. The applicable coverage year, guideline year, household size, jurisdiction, percentage and authoritative source must be stored as effective-dated rule data and confirmed before use.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17365D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/>
                <w:b/>
                <w:color w:val="FFFFFF"/>
                <w:sz w:val="17"/>
              </w:rPr>
              <w:t>Scenario ID</w:t>
            </w:r>
          </w:p>
        </w:tc>
        <w:tc>
          <w:tcPr>
            <w:tcW w:type="dxa" w:w="7460"/>
            <w:shd w:fill="17365D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/>
                <w:b/>
                <w:color w:val="FFFFFF"/>
                <w:sz w:val="17"/>
              </w:rPr>
              <w:t>Required golden behavior</w:t>
            </w:r>
          </w:p>
        </w:tc>
      </w:tr>
      <w:tr>
        <w:tc>
          <w:tcPr>
            <w:tcW w:type="dxa" w:w="19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G-MAGI-01</w:t>
            </w:r>
          </w:p>
        </w:tc>
        <w:tc>
          <w:tcPr>
            <w:tcW w:type="dxa" w:w="74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A complete conservative projection safely below the rule-derived threshold returns SAFE and shows raw and protected headroom.</w:t>
            </w:r>
          </w:p>
        </w:tc>
      </w:tr>
      <w:tr>
        <w:tc>
          <w:tcPr>
            <w:tcW w:type="dxa" w:w="19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G-MAGI-02</w:t>
            </w:r>
          </w:p>
        </w:tc>
        <w:tc>
          <w:tcPr>
            <w:tcW w:type="dxa" w:w="74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Values immediately below, at and above the boundary produce deterministic boundary behavior with no rounding ambiguity.</w:t>
            </w:r>
          </w:p>
        </w:tc>
      </w:tr>
      <w:tr>
        <w:tc>
          <w:tcPr>
            <w:tcW w:type="dxa" w:w="19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G-MAGI-03</w:t>
            </w:r>
          </w:p>
        </w:tc>
        <w:tc>
          <w:tcPr>
            <w:tcW w:type="dxa" w:w="74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A taxable traditional IRA distribution increases projected household MAGI and can change the warning state.</w:t>
            </w:r>
          </w:p>
        </w:tc>
      </w:tr>
      <w:tr>
        <w:tc>
          <w:tcPr>
            <w:tcW w:type="dxa" w:w="19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G-MAGI-04</w:t>
            </w:r>
          </w:p>
        </w:tc>
        <w:tc>
          <w:tcPr>
            <w:tcW w:type="dxa" w:w="74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Qualified FI Roth distributions and internal Roth/HSA investment activity are excluded when the approved classification supports exclusion.</w:t>
            </w:r>
          </w:p>
        </w:tc>
      </w:tr>
      <w:tr>
        <w:tc>
          <w:tcPr>
            <w:tcW w:type="dxa" w:w="19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G-MAGI-05</w:t>
            </w:r>
          </w:p>
        </w:tc>
        <w:tc>
          <w:tcPr>
            <w:tcW w:type="dxa" w:w="74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Car taxable dividends are included; a distribution with unresolved ROC characterization produces an explicit range or INDETERMINATE state.</w:t>
            </w:r>
          </w:p>
        </w:tc>
      </w:tr>
      <w:tr>
        <w:tc>
          <w:tcPr>
            <w:tcW w:type="dxa" w:w="19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G-MAGI-06</w:t>
            </w:r>
          </w:p>
        </w:tc>
        <w:tc>
          <w:tcPr>
            <w:tcW w:type="dxa" w:w="74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Changing tax withholding changes tax-payment projections but does not reduce gross taxable income or Marketplace MAGI.</w:t>
            </w:r>
          </w:p>
        </w:tc>
      </w:tr>
      <w:tr>
        <w:tc>
          <w:tcPr>
            <w:tcW w:type="dxa" w:w="19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G-MAGI-07</w:t>
            </w:r>
          </w:p>
        </w:tc>
        <w:tc>
          <w:tcPr>
            <w:tcW w:type="dxa" w:w="74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A realized taxable capital gain is included and its source transaction remains traceable.</w:t>
            </w:r>
          </w:p>
        </w:tc>
      </w:tr>
      <w:tr>
        <w:tc>
          <w:tcPr>
            <w:tcW w:type="dxa" w:w="19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G-MAGI-08</w:t>
            </w:r>
          </w:p>
        </w:tc>
        <w:tc>
          <w:tcPr>
            <w:tcW w:type="dxa" w:w="74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A declaration or approved Plan change affects the remaining forecast but never rewrites actual-to-date cash.</w:t>
            </w:r>
          </w:p>
        </w:tc>
      </w:tr>
      <w:tr>
        <w:tc>
          <w:tcPr>
            <w:tcW w:type="dxa" w:w="19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G-MAGI-09</w:t>
            </w:r>
          </w:p>
        </w:tc>
        <w:tc>
          <w:tcPr>
            <w:tcW w:type="dxa" w:w="74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Missing transactions, incomplete account coverage or unapproved classifications prevent SAFE and identify the exact remediation required.</w:t>
            </w:r>
          </w:p>
        </w:tc>
      </w:tr>
      <w:tr>
        <w:tc>
          <w:tcPr>
            <w:tcW w:type="dxa" w:w="19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G-MAGI-10</w:t>
            </w:r>
          </w:p>
        </w:tc>
        <w:tc>
          <w:tcPr>
            <w:tcW w:type="dxa" w:w="74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Year-end values reconcile to the applicable tax forms; differences remain visible with evidence and approved adjustments.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400"/>
        <w:gridCol w:w="5960"/>
      </w:tblGrid>
      <w:tr>
        <w:trPr>
          <w:tblHeader w:val="true"/>
        </w:trPr>
        <w:tc>
          <w:tcPr>
            <w:tcW w:type="dxa" w:w="3400"/>
            <w:shd w:fill="17365D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/>
                <w:b/>
                <w:color w:val="FFFFFF"/>
                <w:sz w:val="17"/>
              </w:rPr>
              <w:t>Required owner-facing output</w:t>
            </w:r>
          </w:p>
        </w:tc>
        <w:tc>
          <w:tcPr>
            <w:tcW w:type="dxa" w:w="5960"/>
            <w:shd w:fill="17365D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/>
                <w:b/>
                <w:color w:val="FFFFFF"/>
                <w:sz w:val="17"/>
              </w:rPr>
              <w:t>Definition</w:t>
            </w:r>
          </w:p>
        </w:tc>
      </w:tr>
      <w:tr>
        <w:tc>
          <w:tcPr>
            <w:tcW w:type="dxa" w:w="34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Applicable threshold</w:t>
            </w:r>
          </w:p>
        </w:tc>
        <w:tc>
          <w:tcPr>
            <w:tcW w:type="dxa" w:w="59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Effective-dated, source-linked rule result rather than a magic number.</w:t>
            </w:r>
          </w:p>
        </w:tc>
      </w:tr>
      <w:tr>
        <w:tc>
          <w:tcPr>
            <w:tcW w:type="dxa" w:w="34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Actual included year to date</w:t>
            </w:r>
          </w:p>
        </w:tc>
        <w:tc>
          <w:tcPr>
            <w:tcW w:type="dxa" w:w="59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Posted qualifying facts through the stated as-of date.</w:t>
            </w:r>
          </w:p>
        </w:tc>
      </w:tr>
      <w:tr>
        <w:tc>
          <w:tcPr>
            <w:tcW w:type="dxa" w:w="34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Known remaining / base forecast / conservative forecast</w:t>
            </w:r>
          </w:p>
        </w:tc>
        <w:tc>
          <w:tcPr>
            <w:tcW w:type="dxa" w:w="59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Separated future layers with assumptions and source quality.</w:t>
            </w:r>
          </w:p>
        </w:tc>
      </w:tr>
      <w:tr>
        <w:tc>
          <w:tcPr>
            <w:tcW w:type="dxa" w:w="34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Uncertain amount</w:t>
            </w:r>
          </w:p>
        </w:tc>
        <w:tc>
          <w:tcPr>
            <w:tcW w:type="dxa" w:w="59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Explicit unresolved classification or amount range.</w:t>
            </w:r>
          </w:p>
        </w:tc>
      </w:tr>
      <w:tr>
        <w:tc>
          <w:tcPr>
            <w:tcW w:type="dxa" w:w="34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Raw headroom / protected headroom</w:t>
            </w:r>
          </w:p>
        </w:tc>
        <w:tc>
          <w:tcPr>
            <w:tcW w:type="dxa" w:w="59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Threshold less projection, and threshold less conservative projection and approved safety reserve.</w:t>
            </w:r>
          </w:p>
        </w:tc>
      </w:tr>
      <w:tr>
        <w:tc>
          <w:tcPr>
            <w:tcW w:type="dxa" w:w="34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Data completeness</w:t>
            </w:r>
          </w:p>
        </w:tc>
        <w:tc>
          <w:tcPr>
            <w:tcW w:type="dxa" w:w="59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Complete, incomplete or pending review with missing-source details.</w:t>
            </w:r>
          </w:p>
        </w:tc>
      </w:tr>
      <w:tr>
        <w:tc>
          <w:tcPr>
            <w:tcW w:type="dxa" w:w="34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Decision state and warnings</w:t>
            </w:r>
          </w:p>
        </w:tc>
        <w:tc>
          <w:tcPr>
            <w:tcW w:type="dxa" w:w="59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SAFE, WATCH, LIKELY OVER, OVER or INDETERMINATE with explanation.</w:t>
            </w:r>
          </w:p>
        </w:tc>
      </w:tr>
      <w:tr>
        <w:tc>
          <w:tcPr>
            <w:tcW w:type="dxa" w:w="34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Calculation trace</w:t>
            </w:r>
          </w:p>
        </w:tc>
        <w:tc>
          <w:tcPr>
            <w:tcW w:type="dxa" w:w="59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Drill-down from result to rule, category, transaction, evidence and version.</w:t>
            </w:r>
          </w:p>
        </w:tc>
      </w:tr>
    </w:tbl>
    <w:p>
      <w:pPr>
        <w:spacing w:after="20"/>
      </w:pPr>
    </w:p>
    <w:p>
      <w:pPr>
        <w:pStyle w:val="Heading2"/>
      </w:pPr>
      <w:r>
        <w:t>11.5 Golden-answer governance and release policy</w:t>
      </w:r>
    </w:p>
    <w:p>
      <w:pPr>
        <w:pStyle w:val="ListBullet"/>
      </w:pPr>
      <w:r>
        <w:t>Golden expectations are reviewed business evidence, not disposable snapshots. A failing test is investigated before any expected value is changed.</w:t>
      </w:r>
    </w:p>
    <w:p>
      <w:pPr>
        <w:pStyle w:val="ListBullet"/>
      </w:pPr>
      <w:r>
        <w:t>No tool, AI process or application build may automatically approve or overwrite a golden expectation.</w:t>
      </w:r>
    </w:p>
    <w:p>
      <w:pPr>
        <w:pStyle w:val="ListBullet"/>
      </w:pPr>
      <w:r>
        <w:t>A rule change creates a new effective-dated rule and scenario version; historical golden cases remain reproducible under their original rule version.</w:t>
      </w:r>
    </w:p>
    <w:p>
      <w:pPr>
        <w:pStyle w:val="ListBullet"/>
      </w:pPr>
      <w:r>
        <w:t>Every pull request that changes financial entities, classification, calculation, import, forecast, precision, migration or restore behavior runs the affected golden packs.</w:t>
      </w:r>
    </w:p>
    <w:p>
      <w:pPr>
        <w:pStyle w:val="ListBullet"/>
      </w:pPr>
      <w:r>
        <w:t>The evidence report records scenario version, rule version, calculation version, application build/commit, database adapter, platform, execution time and exact differences.</w:t>
      </w:r>
    </w:p>
    <w:p>
      <w:pPr>
        <w:pStyle w:val="ListBullet"/>
      </w:pPr>
      <w:r>
        <w:t>The same mandatory cases must pass through the local and centralized deployment paths before PostgreSQL authority cutover or multi-client production release.</w:t>
      </w:r>
    </w:p>
    <w:p>
      <w:pPr>
        <w:pStyle w:val="ListBullet"/>
      </w:pPr>
      <w:r>
        <w:t>Owner acceptance is required for the initial expected results and for any material business-meaning change.</w:t>
      </w:r>
    </w:p>
    <w:p>
      <w:pPr>
        <w:pStyle w:val="Heading1"/>
      </w:pPr>
      <w:r>
        <w:t>12. Delivery roadmap and release gates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650"/>
        <w:gridCol w:w="4010"/>
      </w:tblGrid>
      <w:tr>
        <w:trPr>
          <w:tblHeader w:val="true"/>
        </w:trPr>
        <w:tc>
          <w:tcPr>
            <w:tcW w:type="dxa" w:w="1700"/>
            <w:shd w:fill="17365D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3650"/>
            <w:shd w:fill="17365D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/>
                <w:b/>
                <w:color w:val="FFFFFF"/>
                <w:sz w:val="17"/>
              </w:rPr>
              <w:t>Scope</w:t>
            </w:r>
          </w:p>
        </w:tc>
        <w:tc>
          <w:tcPr>
            <w:tcW w:type="dxa" w:w="4010"/>
            <w:shd w:fill="17365D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/>
                <w:b/>
                <w:color w:val="FFFFFF"/>
                <w:sz w:val="17"/>
              </w:rPr>
              <w:t>Exit gate</w:t>
            </w:r>
          </w:p>
        </w:tc>
      </w:tr>
      <w:tr>
        <w:tc>
          <w:tcPr>
            <w:tcW w:type="dxa" w:w="17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0 — Architecture control</w:t>
            </w:r>
          </w:p>
        </w:tc>
        <w:tc>
          <w:tcPr>
            <w:tcW w:type="dxa" w:w="36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Publish this V1.1, ADRs, component contracts, MVP boundary and golden-harness contract.</w:t>
            </w:r>
          </w:p>
        </w:tc>
        <w:tc>
          <w:tcPr>
            <w:tcW w:type="dxa" w:w="401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Every major choice and initial golden expectation has owner-approved rationale and traceability.</w:t>
            </w:r>
          </w:p>
        </w:tc>
      </w:tr>
      <w:tr>
        <w:tc>
          <w:tcPr>
            <w:tcW w:type="dxa" w:w="17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1 — Platform proof</w:t>
            </w:r>
          </w:p>
        </w:tc>
        <w:tc>
          <w:tcPr>
            <w:tcW w:type="dxa" w:w="36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Windows/macOS shell, SQLite migration, device ID, snapshot, newer-device detection and restore.</w:t>
            </w:r>
          </w:p>
        </w:tc>
        <w:tc>
          <w:tcPr>
            <w:tcW w:type="dxa" w:w="401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Both platforms pass the same restore and handoff test.</w:t>
            </w:r>
          </w:p>
        </w:tc>
      </w:tr>
      <w:tr>
        <w:tc>
          <w:tcPr>
            <w:tcW w:type="dxa" w:w="17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2 — Canonical foundation</w:t>
            </w:r>
          </w:p>
        </w:tc>
        <w:tc>
          <w:tcPr>
            <w:tcW w:type="dxa" w:w="36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Registries, evidence, import staging, ledger, audit, exceptions and canonical week.</w:t>
            </w:r>
          </w:p>
        </w:tc>
        <w:tc>
          <w:tcPr>
            <w:tcW w:type="dxa" w:w="401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Migration seed counts and critical totals reconcile exactly.</w:t>
            </w:r>
          </w:p>
        </w:tc>
      </w:tr>
      <w:tr>
        <w:tc>
          <w:tcPr>
            <w:tcW w:type="dxa" w:w="17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3 — Dividend vertical slice</w:t>
            </w:r>
          </w:p>
        </w:tc>
        <w:tc>
          <w:tcPr>
            <w:tcW w:type="dxa" w:w="36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Fidelity/Schwab capture → validation → DividendActual → Income Plan/Dashboard/Trends.</w:t>
            </w:r>
          </w:p>
        </w:tc>
        <w:tc>
          <w:tcPr>
            <w:tcW w:type="dxa" w:w="401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One fact updates every actual view without re-entry; re-import is idempotent.</w:t>
            </w:r>
          </w:p>
        </w:tc>
      </w:tr>
      <w:tr>
        <w:tc>
          <w:tcPr>
            <w:tcW w:type="dxa" w:w="17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4 — Lots and ROI</w:t>
            </w:r>
          </w:p>
        </w:tc>
        <w:tc>
          <w:tcPr>
            <w:tcW w:type="dxa" w:w="36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Dual basis, CRF policy, sales/options, explicit lot reconciliation and lifetime components.</w:t>
            </w:r>
          </w:p>
        </w:tc>
        <w:tc>
          <w:tcPr>
            <w:tcW w:type="dxa" w:w="401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No FIFO assumption; CRF tests and broker reconciliation pass.</w:t>
            </w:r>
          </w:p>
        </w:tc>
      </w:tr>
      <w:tr>
        <w:tc>
          <w:tcPr>
            <w:tcW w:type="dxa" w:w="17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5 — Planning and tax</w:t>
            </w:r>
          </w:p>
        </w:tc>
        <w:tc>
          <w:tcPr>
            <w:tcW w:type="dxa" w:w="36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Calculator Plan, burndown, non-ROI events, ROC and Marketplace projection.</w:t>
            </w:r>
          </w:p>
        </w:tc>
        <w:tc>
          <w:tcPr>
            <w:tcW w:type="dxa" w:w="401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The locked Marketplace MAGI golden pack, state separation, tax categories and warning tests pass.</w:t>
            </w:r>
          </w:p>
        </w:tc>
      </w:tr>
      <w:tr>
        <w:tc>
          <w:tcPr>
            <w:tcW w:type="dxa" w:w="17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6 — Decision intelligence</w:t>
            </w:r>
          </w:p>
        </w:tc>
        <w:tc>
          <w:tcPr>
            <w:tcW w:type="dxa" w:w="36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Allocation, Shopping Cart, backtesting, classification review and AI advisory.</w:t>
            </w:r>
          </w:p>
        </w:tc>
        <w:tc>
          <w:tcPr>
            <w:tcW w:type="dxa" w:w="401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Scenarios expose components, sources, assumptions and owner decisions.</w:t>
            </w:r>
          </w:p>
        </w:tc>
      </w:tr>
      <w:tr>
        <w:tc>
          <w:tcPr>
            <w:tcW w:type="dxa" w:w="17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7 — Release hardening</w:t>
            </w:r>
          </w:p>
        </w:tc>
        <w:tc>
          <w:tcPr>
            <w:tcW w:type="dxa" w:w="36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Signed installers, update, accessibility, performance, backup and restore drills.</w:t>
            </w:r>
          </w:p>
        </w:tc>
        <w:tc>
          <w:tcPr>
            <w:tcW w:type="dxa" w:w="401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Owner acceptance matrix and recovery tests pass.</w:t>
            </w:r>
          </w:p>
        </w:tc>
      </w:tr>
      <w:tr>
        <w:tc>
          <w:tcPr>
            <w:tcW w:type="dxa" w:w="17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8 — Centralization proof</w:t>
            </w:r>
          </w:p>
        </w:tc>
        <w:tc>
          <w:tcPr>
            <w:tcW w:type="dxa" w:w="36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Shared core on Rust server, PostgreSQL adapter and remote desktop client.</w:t>
            </w:r>
          </w:p>
        </w:tc>
        <w:tc>
          <w:tcPr>
            <w:tcW w:type="dxa" w:w="401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Local/central golden tests reconcile and concurrent-command controls pass.</w:t>
            </w:r>
          </w:p>
        </w:tc>
      </w:tr>
      <w:tr>
        <w:tc>
          <w:tcPr>
            <w:tcW w:type="dxa" w:w="17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9 — Multi-client production</w:t>
            </w:r>
          </w:p>
        </w:tc>
        <w:tc>
          <w:tcPr>
            <w:tcW w:type="dxa" w:w="36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OIDC, web client, operations, central backup and controlled authority cutover.</w:t>
            </w:r>
          </w:p>
        </w:tc>
        <w:tc>
          <w:tcPr>
            <w:tcW w:type="dxa" w:w="401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Multiple authenticated clients operate against one audited authoritative server.</w:t>
            </w:r>
          </w:p>
        </w:tc>
      </w:tr>
    </w:tbl>
    <w:p>
      <w:pPr>
        <w:spacing w:after="20"/>
      </w:pPr>
    </w:p>
    <w:p>
      <w:pPr>
        <w:pStyle w:val="Heading1"/>
      </w:pPr>
      <w:r>
        <w:t>13. Required architecture decision records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17365D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/>
                <w:b/>
                <w:color w:val="FFFFFF"/>
                <w:sz w:val="17"/>
              </w:rPr>
              <w:t>ADR</w:t>
            </w:r>
          </w:p>
        </w:tc>
        <w:tc>
          <w:tcPr>
            <w:tcW w:type="dxa" w:w="7560"/>
            <w:shd w:fill="17365D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/>
                <w:b/>
                <w:color w:val="FFFFFF"/>
                <w:sz w:val="17"/>
              </w:rPr>
              <w:t>Decision</w:t>
            </w:r>
          </w:p>
        </w:tc>
      </w:tr>
      <w:tr>
        <w:tc>
          <w:tcPr>
            <w:tcW w:type="dxa" w:w="18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ADR-0001</w:t>
            </w:r>
          </w:p>
        </w:tc>
        <w:tc>
          <w:tcPr>
            <w:tcW w:type="dxa" w:w="75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Tauri 2 desktop shell and React/TypeScript presentation.</w:t>
            </w:r>
          </w:p>
        </w:tc>
      </w:tr>
      <w:tr>
        <w:tc>
          <w:tcPr>
            <w:tcW w:type="dxa" w:w="18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ADR-0002</w:t>
            </w:r>
          </w:p>
        </w:tc>
        <w:tc>
          <w:tcPr>
            <w:tcW w:type="dxa" w:w="75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Rust deployment-independent application/domain core.</w:t>
            </w:r>
          </w:p>
        </w:tc>
      </w:tr>
      <w:tr>
        <w:tc>
          <w:tcPr>
            <w:tcW w:type="dxa" w:w="18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ADR-0003</w:t>
            </w:r>
          </w:p>
        </w:tc>
        <w:tc>
          <w:tcPr>
            <w:tcW w:type="dxa" w:w="75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SQLite local authority and PostgreSQL centralized authority.</w:t>
            </w:r>
          </w:p>
        </w:tc>
      </w:tr>
      <w:tr>
        <w:tc>
          <w:tcPr>
            <w:tcW w:type="dxa" w:w="18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ADR-0004</w:t>
            </w:r>
          </w:p>
        </w:tc>
        <w:tc>
          <w:tcPr>
            <w:tcW w:type="dxa" w:w="75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Fixed-scale authoritative financial arithmetic.</w:t>
            </w:r>
          </w:p>
        </w:tc>
      </w:tr>
      <w:tr>
        <w:tc>
          <w:tcPr>
            <w:tcW w:type="dxa" w:w="18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ADR-0005</w:t>
            </w:r>
          </w:p>
        </w:tc>
        <w:tc>
          <w:tcPr>
            <w:tcW w:type="dxa" w:w="75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Modular monolith component boundaries and dependency rules.</w:t>
            </w:r>
          </w:p>
        </w:tc>
      </w:tr>
      <w:tr>
        <w:tc>
          <w:tcPr>
            <w:tcW w:type="dxa" w:w="18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ADR-0006</w:t>
            </w:r>
          </w:p>
        </w:tc>
        <w:tc>
          <w:tcPr>
            <w:tcW w:type="dxa" w:w="75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FinanceClient local/remote abstraction and versioned contracts.</w:t>
            </w:r>
          </w:p>
        </w:tc>
      </w:tr>
      <w:tr>
        <w:tc>
          <w:tcPr>
            <w:tcW w:type="dxa" w:w="18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ADR-0007</w:t>
            </w:r>
          </w:p>
        </w:tc>
        <w:tc>
          <w:tcPr>
            <w:tcW w:type="dxa" w:w="75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Immutable snapshot lineage and controlled device handoff.</w:t>
            </w:r>
          </w:p>
        </w:tc>
      </w:tr>
      <w:tr>
        <w:tc>
          <w:tcPr>
            <w:tcW w:type="dxa" w:w="18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ADR-0008</w:t>
            </w:r>
          </w:p>
        </w:tc>
        <w:tc>
          <w:tcPr>
            <w:tcW w:type="dxa" w:w="75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Immutable transaction events plus relational current/read models.</w:t>
            </w:r>
          </w:p>
        </w:tc>
      </w:tr>
      <w:tr>
        <w:tc>
          <w:tcPr>
            <w:tcW w:type="dxa" w:w="18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ADR-0009</w:t>
            </w:r>
          </w:p>
        </w:tc>
        <w:tc>
          <w:tcPr>
            <w:tcW w:type="dxa" w:w="75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Evidence store, import idempotency and correction-not-erasure.</w:t>
            </w:r>
          </w:p>
        </w:tc>
      </w:tr>
      <w:tr>
        <w:tc>
          <w:tcPr>
            <w:tcW w:type="dxa" w:w="18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ADR-0010</w:t>
            </w:r>
          </w:p>
        </w:tc>
        <w:tc>
          <w:tcPr>
            <w:tcW w:type="dxa" w:w="75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Optional Python connector worker and restricted posting boundary.</w:t>
            </w:r>
          </w:p>
        </w:tc>
      </w:tr>
      <w:tr>
        <w:tc>
          <w:tcPr>
            <w:tcW w:type="dxa" w:w="18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ADR-0011</w:t>
            </w:r>
          </w:p>
        </w:tc>
        <w:tc>
          <w:tcPr>
            <w:tcW w:type="dxa" w:w="75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Central server, OIDC, optimistic concurrency and PostgreSQL migration path.</w:t>
            </w:r>
          </w:p>
        </w:tc>
      </w:tr>
      <w:tr>
        <w:tc>
          <w:tcPr>
            <w:tcW w:type="dxa" w:w="18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ADR-0012</w:t>
            </w:r>
          </w:p>
        </w:tc>
        <w:tc>
          <w:tcPr>
            <w:tcW w:type="dxa" w:w="75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AI advisory boundary, provenance and prohibition on authoritative mutation.</w:t>
            </w:r>
          </w:p>
        </w:tc>
      </w:tr>
      <w:tr>
        <w:tc>
          <w:tcPr>
            <w:tcW w:type="dxa" w:w="18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ADR-0013</w:t>
            </w:r>
          </w:p>
        </w:tc>
        <w:tc>
          <w:tcPr>
            <w:tcW w:type="dxa" w:w="75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Golden Business Outcome Harness, independent expected oracle, evidence contract and golden-answer approval governance.</w:t>
            </w:r>
          </w:p>
        </w:tc>
      </w:tr>
    </w:tbl>
    <w:p>
      <w:pPr>
        <w:spacing w:after="20"/>
      </w:pPr>
    </w:p>
    <w:p>
      <w:pPr>
        <w:pStyle w:val="Heading1"/>
      </w:pPr>
      <w:r>
        <w:t>14. Architectural acceptance criteria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17365D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/>
                <w:b/>
                <w:color w:val="FFFFFF"/>
                <w:sz w:val="17"/>
              </w:rPr>
              <w:t>ID</w:t>
            </w:r>
          </w:p>
        </w:tc>
        <w:tc>
          <w:tcPr>
            <w:tcW w:type="dxa" w:w="7460"/>
            <w:shd w:fill="17365D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/>
                <w:b/>
                <w:color w:val="FFFFFF"/>
                <w:sz w:val="17"/>
              </w:rPr>
              <w:t>Acceptance criterion</w:t>
            </w:r>
          </w:p>
        </w:tc>
      </w:tr>
      <w:tr>
        <w:tc>
          <w:tcPr>
            <w:tcW w:type="dxa" w:w="19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AC-ARCH-01</w:t>
            </w:r>
          </w:p>
        </w:tc>
        <w:tc>
          <w:tcPr>
            <w:tcW w:type="dxa" w:w="74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The same React screen can operate through LocalTauriFinanceClient or RemoteHttpFinanceClient without embedding persistence logic.</w:t>
            </w:r>
          </w:p>
        </w:tc>
      </w:tr>
      <w:tr>
        <w:tc>
          <w:tcPr>
            <w:tcW w:type="dxa" w:w="19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AC-ARCH-02</w:t>
            </w:r>
          </w:p>
        </w:tc>
        <w:tc>
          <w:tcPr>
            <w:tcW w:type="dxa" w:w="74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The financial-domain test suite runs without Tauri, SQLite, PostgreSQL, network or UI dependencies.</w:t>
            </w:r>
          </w:p>
        </w:tc>
      </w:tr>
      <w:tr>
        <w:tc>
          <w:tcPr>
            <w:tcW w:type="dxa" w:w="19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AC-ARCH-03</w:t>
            </w:r>
          </w:p>
        </w:tc>
        <w:tc>
          <w:tcPr>
            <w:tcW w:type="dxa" w:w="74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SQLite and PostgreSQL repository adapters pass the same repository contract tests before central cutover.</w:t>
            </w:r>
          </w:p>
        </w:tc>
      </w:tr>
      <w:tr>
        <w:tc>
          <w:tcPr>
            <w:tcW w:type="dxa" w:w="19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AC-ARCH-04</w:t>
            </w:r>
          </w:p>
        </w:tc>
        <w:tc>
          <w:tcPr>
            <w:tcW w:type="dxa" w:w="74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Replacing a price, dividend, AI or broker adapter does not change canonical business entities.</w:t>
            </w:r>
          </w:p>
        </w:tc>
      </w:tr>
      <w:tr>
        <w:tc>
          <w:tcPr>
            <w:tcW w:type="dxa" w:w="19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AC-ARCH-05</w:t>
            </w:r>
          </w:p>
        </w:tc>
        <w:tc>
          <w:tcPr>
            <w:tcW w:type="dxa" w:w="74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No UI or component directly accesses tables owned by another component.</w:t>
            </w:r>
          </w:p>
        </w:tc>
      </w:tr>
      <w:tr>
        <w:tc>
          <w:tcPr>
            <w:tcW w:type="dxa" w:w="19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AC-ARCH-06</w:t>
            </w:r>
          </w:p>
        </w:tc>
        <w:tc>
          <w:tcPr>
            <w:tcW w:type="dxa" w:w="74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A newer verified snapshot from another computer is detected before ordinary local writing begins.</w:t>
            </w:r>
          </w:p>
        </w:tc>
      </w:tr>
      <w:tr>
        <w:tc>
          <w:tcPr>
            <w:tcW w:type="dxa" w:w="19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AC-ARCH-07</w:t>
            </w:r>
          </w:p>
        </w:tc>
        <w:tc>
          <w:tcPr>
            <w:tcW w:type="dxa" w:w="74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A divergent snapshot branch is preserved and blocked for explicit resolution; it is never silently merged.</w:t>
            </w:r>
          </w:p>
        </w:tc>
      </w:tr>
      <w:tr>
        <w:tc>
          <w:tcPr>
            <w:tcW w:type="dxa" w:w="19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AC-ARCH-08</w:t>
            </w:r>
          </w:p>
        </w:tc>
        <w:tc>
          <w:tcPr>
            <w:tcW w:type="dxa" w:w="74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A local dataset migrates to PostgreSQL with reconciled counts, quantities, money, basis, evidence hashes, versions and audit history.</w:t>
            </w:r>
          </w:p>
        </w:tc>
      </w:tr>
      <w:tr>
        <w:tc>
          <w:tcPr>
            <w:tcW w:type="dxa" w:w="19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AC-ARCH-09</w:t>
            </w:r>
          </w:p>
        </w:tc>
        <w:tc>
          <w:tcPr>
            <w:tcW w:type="dxa" w:w="74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Two authenticated clients can submit concurrent commands and receive deterministic success or visible concurrency conflicts.</w:t>
            </w:r>
          </w:p>
        </w:tc>
      </w:tr>
      <w:tr>
        <w:tc>
          <w:tcPr>
            <w:tcW w:type="dxa" w:w="19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AC-ARCH-10</w:t>
            </w:r>
          </w:p>
        </w:tc>
        <w:tc>
          <w:tcPr>
            <w:tcW w:type="dxa" w:w="74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Every centralized command records user, device, time, request/correlation ID, result and material change evidence.</w:t>
            </w:r>
          </w:p>
        </w:tc>
      </w:tr>
      <w:tr>
        <w:tc>
          <w:tcPr>
            <w:tcW w:type="dxa" w:w="19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AC-ARCH-11</w:t>
            </w:r>
          </w:p>
        </w:tc>
        <w:tc>
          <w:tcPr>
            <w:tcW w:type="dxa" w:w="74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Signed Windows and macOS releases pass migration, backup and restore tests before distribution.</w:t>
            </w:r>
          </w:p>
        </w:tc>
      </w:tr>
      <w:tr>
        <w:tc>
          <w:tcPr>
            <w:tcW w:type="dxa" w:w="19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AC-ARCH-12</w:t>
            </w:r>
          </w:p>
        </w:tc>
        <w:tc>
          <w:tcPr>
            <w:tcW w:type="dxa" w:w="74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No AI, import or connector adapter can bypass validation/approval to mutate authoritative financial facts.</w:t>
            </w:r>
          </w:p>
        </w:tc>
      </w:tr>
      <w:tr>
        <w:tc>
          <w:tcPr>
            <w:tcW w:type="dxa" w:w="19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AC-ARCH-13</w:t>
            </w:r>
          </w:p>
        </w:tc>
        <w:tc>
          <w:tcPr>
            <w:tcW w:type="dxa" w:w="74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Every required golden scenario executes through production application/domain services and compares approved intermediate and final results.</w:t>
            </w:r>
          </w:p>
        </w:tc>
      </w:tr>
      <w:tr>
        <w:tc>
          <w:tcPr>
            <w:tcW w:type="dxa" w:w="19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AC-ARCH-14</w:t>
            </w:r>
          </w:p>
        </w:tc>
        <w:tc>
          <w:tcPr>
            <w:tcW w:type="dxa" w:w="74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A required golden mismatch blocks release; expected results cannot be automatically regenerated or approved by the code under test or an AI process.</w:t>
            </w:r>
          </w:p>
        </w:tc>
      </w:tr>
      <w:tr>
        <w:tc>
          <w:tcPr>
            <w:tcW w:type="dxa" w:w="19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AC-ARCH-15</w:t>
            </w:r>
          </w:p>
        </w:tc>
        <w:tc>
          <w:tcPr>
            <w:tcW w:type="dxa" w:w="74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The Marketplace MAGI result shows the rule source/version, actual-to-date, forecast layers, uncertainty, completeness, headroom, warning state and full calculation trace.</w:t>
            </w:r>
          </w:p>
        </w:tc>
      </w:tr>
      <w:tr>
        <w:tc>
          <w:tcPr>
            <w:tcW w:type="dxa" w:w="19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AC-ARCH-16</w:t>
            </w:r>
          </w:p>
        </w:tc>
        <w:tc>
          <w:tcPr>
            <w:tcW w:type="dxa" w:w="74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Missing or unresolved Marketplace inputs return INDETERMINATE and never a misleading SAFE result.</w:t>
            </w:r>
          </w:p>
        </w:tc>
      </w:tr>
      <w:tr>
        <w:tc>
          <w:tcPr>
            <w:tcW w:type="dxa" w:w="19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AC-ARCH-17</w:t>
            </w:r>
          </w:p>
        </w:tc>
        <w:tc>
          <w:tcPr>
            <w:tcW w:type="dxa" w:w="74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30" w:line="250" w:lineRule="auto"/>
            </w:pPr>
            <w:r>
              <w:rPr>
                <w:rFonts w:ascii="Calibri" w:hAnsi="Calibri"/>
                <w:color w:val="1F2937"/>
                <w:sz w:val="17"/>
              </w:rPr>
              <w:t>Mandatory golden outcomes reconcile across restore, Windows/macOS, SQLite/PostgreSQL and local/remote execution before the related release gate passes.</w:t>
            </w:r>
          </w:p>
        </w:tc>
      </w:tr>
    </w:tbl>
    <w:p>
      <w:pPr>
        <w:spacing w:after="20"/>
      </w:pPr>
    </w:p>
    <w:p>
      <w:pPr>
        <w:pStyle w:val="Heading1"/>
      </w:pPr>
      <w:r>
        <w:t>15. V1 status and controlled evolution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2F0D9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17365D"/>
              </w:rPr>
              <w:t xml:space="preserve">V1.1 target locked  </w:t>
            </w:r>
            <w:r>
              <w:t>The system will begin as a local-first desktop application and is architecturally required to expand into a centralized server-based system with multiple remote clients. The Golden Business Outcome Harness is a required release-control component across both deployment models. Centralization changes deployment authority and adapters—not the financial domain, business components, golden business meaning or primary user workflows.</w:t>
            </w:r>
          </w:p>
        </w:tc>
      </w:tr>
    </w:tbl>
    <w:p>
      <w:pPr>
        <w:spacing w:after="20"/>
      </w:pPr>
    </w:p>
    <w:p>
      <w:r>
        <w:t>A future change to the desktop framework, domain language, local database, central database, component boundaries, precision policy, device-handoff model or local/remote client contract requires an approved ADR and a new version of this target architecture. Ordinary implementation detail may evolve within these boundaries.</w:t>
      </w:r>
    </w:p>
    <w:p>
      <w:pPr>
        <w:pStyle w:val="Heading1"/>
      </w:pPr>
      <w:r>
        <w:t>16. Authoritative technical and rule references</w:t>
      </w:r>
    </w:p>
    <w:p>
      <w:pPr>
        <w:pStyle w:val="ListBullet"/>
      </w:pPr>
      <w:r>
        <w:rPr>
          <w:b/>
        </w:rPr>
        <w:t xml:space="preserve">Tauri 2 architecture: </w:t>
      </w:r>
      <w:r>
        <w:t>https://v2.tauri.app/concept/architecture/</w:t>
      </w:r>
    </w:p>
    <w:p>
      <w:pPr>
        <w:pStyle w:val="ListBullet"/>
      </w:pPr>
      <w:r>
        <w:rPr>
          <w:b/>
        </w:rPr>
        <w:t xml:space="preserve">Tauri SQL plugin and supported engines: </w:t>
      </w:r>
      <w:r>
        <w:t>https://v2.tauri.app/plugin/sql/</w:t>
      </w:r>
    </w:p>
    <w:p>
      <w:pPr>
        <w:pStyle w:val="ListBullet"/>
      </w:pPr>
      <w:r>
        <w:rPr>
          <w:b/>
        </w:rPr>
        <w:t xml:space="preserve">Tauri external binaries / sidecars: </w:t>
      </w:r>
      <w:r>
        <w:t>https://v2.tauri.app/develop/sidecar/</w:t>
      </w:r>
    </w:p>
    <w:p>
      <w:pPr>
        <w:pStyle w:val="ListBullet"/>
      </w:pPr>
      <w:r>
        <w:rPr>
          <w:b/>
        </w:rPr>
        <w:t xml:space="preserve">Tauri signed updater: </w:t>
      </w:r>
      <w:r>
        <w:t>https://v2.tauri.app/plugin/updater/</w:t>
      </w:r>
    </w:p>
    <w:p>
      <w:pPr>
        <w:pStyle w:val="ListBullet"/>
      </w:pPr>
      <w:r>
        <w:rPr>
          <w:b/>
        </w:rPr>
        <w:t xml:space="preserve">Tauri GitHub build pipeline: </w:t>
      </w:r>
      <w:r>
        <w:t>https://v2.tauri.app/distribute/pipelines/github/</w:t>
      </w:r>
    </w:p>
    <w:p>
      <w:pPr>
        <w:pStyle w:val="ListBullet"/>
      </w:pPr>
      <w:r>
        <w:rPr>
          <w:b/>
        </w:rPr>
        <w:t xml:space="preserve">React documentation: </w:t>
      </w:r>
      <w:r>
        <w:t>https://react.dev/</w:t>
      </w:r>
    </w:p>
    <w:p>
      <w:pPr>
        <w:pStyle w:val="ListBullet"/>
      </w:pPr>
      <w:r>
        <w:rPr>
          <w:b/>
        </w:rPr>
        <w:t xml:space="preserve">SQLite appropriate uses: </w:t>
      </w:r>
      <w:r>
        <w:t>https://sqlite.org/whentouse.html</w:t>
      </w:r>
    </w:p>
    <w:p>
      <w:pPr>
        <w:pStyle w:val="ListBullet"/>
      </w:pPr>
      <w:r>
        <w:rPr>
          <w:b/>
        </w:rPr>
        <w:t xml:space="preserve">SQLite WAL and network filesystem limitation: </w:t>
      </w:r>
      <w:r>
        <w:t>https://www.sqlite.org/wal.html</w:t>
      </w:r>
    </w:p>
    <w:p>
      <w:pPr>
        <w:pStyle w:val="ListBullet"/>
      </w:pPr>
      <w:r>
        <w:rPr>
          <w:b/>
        </w:rPr>
        <w:t xml:space="preserve">SQLite consistent backup guidance: </w:t>
      </w:r>
      <w:r>
        <w:t>https://sqlite.org/howtocorrupt.html</w:t>
      </w:r>
    </w:p>
    <w:p>
      <w:pPr>
        <w:pStyle w:val="ListBullet"/>
      </w:pPr>
      <w:r>
        <w:rPr>
          <w:b/>
        </w:rPr>
        <w:t xml:space="preserve">DuckDB documentation: </w:t>
      </w:r>
      <w:r>
        <w:t>https://duckdb.org/docs/current/</w:t>
      </w:r>
    </w:p>
    <w:p>
      <w:pPr>
        <w:pStyle w:val="ListBullet"/>
      </w:pPr>
      <w:r>
        <w:rPr>
          <w:b/>
        </w:rPr>
        <w:t xml:space="preserve">IRS Premium Tax Credit questions and answers: </w:t>
      </w:r>
      <w:r>
        <w:t>https://www.irs.gov/affordable-care-act/individuals-and-families/questions-and-answers-on-the-premium-tax-credit</w:t>
      </w:r>
    </w:p>
    <w:p>
      <w:pPr>
        <w:pStyle w:val="ListBullet"/>
      </w:pPr>
      <w:r>
        <w:rPr>
          <w:b/>
        </w:rPr>
        <w:t xml:space="preserve">IRS Publication 505 (2026): </w:t>
      </w:r>
      <w:r>
        <w:t>https://www.irs.gov/pub/irs-pdf/p505.pdf</w:t>
      </w:r>
    </w:p>
    <w:p>
      <w:pPr>
        <w:pStyle w:val="ListBullet"/>
      </w:pPr>
      <w:r>
        <w:rPr>
          <w:b/>
        </w:rPr>
        <w:t xml:space="preserve">2025 HHS poverty guidelines — Federal Register: </w:t>
      </w:r>
      <w:r>
        <w:t>https://www.federalregister.gov/documents/2025/01/17/2025-01377/annual-update-of-the-hhs-poverty-guidelines</w:t>
      </w:r>
    </w:p>
    <w:p>
      <w:pPr>
        <w:pStyle w:val="ListBullet"/>
      </w:pPr>
      <w:r>
        <w:rPr>
          <w:b/>
        </w:rPr>
        <w:t xml:space="preserve">HealthCare.gov Marketplace income guidance: </w:t>
      </w:r>
      <w:r>
        <w:t>https://www.healthcare.gov/income-and-household-information/income/</w:t>
      </w:r>
    </w:p>
    <w:p>
      <w:r>
        <w:rPr>
          <w:rFonts w:ascii="Arial" w:hAnsi="Arial" w:eastAsia="Arial"/>
          <w:b w:val="0"/>
          <w:i w:val="0"/>
          <w:sz w:val="22"/>
        </w:rPr>
      </w:r>
    </w:p>
    <w:p>
      <w:r>
        <w:rPr>
          <w:rFonts w:ascii="Arial" w:hAnsi="Arial" w:eastAsia="Arial"/>
          <w:b/>
          <w:i w:val="0"/>
          <w:color w:val="1F4E79"/>
          <w:sz w:val="24"/>
        </w:rPr>
        <w:t>PROJECT LOCK DISPOSITION — 15 August 2026</w:t>
      </w:r>
    </w:p>
    <w:p>
      <w:r>
        <w:rPr>
          <w:rFonts w:ascii="Arial" w:hAnsi="Arial" w:eastAsia="Arial"/>
          <w:b/>
          <w:i w:val="0"/>
          <w:color w:val="006600"/>
          <w:sz w:val="22"/>
        </w:rPr>
        <w:t>Status: LOCKED TARGET ARCHITECTURE V1.1</w:t>
      </w:r>
    </w:p>
    <w:p>
      <w:r>
        <w:rPr>
          <w:rFonts w:ascii="Arial" w:hAnsi="Arial" w:eastAsia="Arial"/>
          <w:b w:val="0"/>
          <w:i w:val="0"/>
          <w:sz w:val="20"/>
        </w:rPr>
        <w:t>Accepted as the governing technical architecture for the Finance Management System. Tauri 2 + React/TypeScript + Rust + SQLite local-first; path to PostgreSQL multi-client; Golden Business Outcome Harness required; modular monolith; immutable snapshot device handoff. Later changes require an approved ADR and version update.</w:t>
      </w:r>
    </w:p>
    <w:p>
      <w:r>
        <w:rPr>
          <w:rFonts w:ascii="Arial" w:hAnsi="Arial" w:eastAsia="Arial"/>
          <w:b w:val="0"/>
          <w:i/>
          <w:sz w:val="20"/>
        </w:rPr>
        <w:t>Consistent with Build Package v2.0, Cross-Cutting BR-X baseline, and locked domain target architectures. Development tool: Cursor.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440" w:bottom="1037" w:left="144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7085"/>
        <w:sz w:val="16"/>
      </w:rPr>
      <w:t xml:space="preserve">Locked target architecture V1.1  •  2026-08-14  •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67085"/>
        <w:sz w:val="16"/>
      </w:rPr>
      <w:t>FINANCE MANAGEMENT SYSTEM  |  TARGET ARCHITECTURE V1.1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600"/>
        </w:tabs>
        <w:ind w:left="600" w:hanging="30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600"/>
        </w:tabs>
        <w:ind w:left="600" w:hanging="30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4" w:lineRule="auto"/>
    </w:pPr>
    <w:rPr>
      <w:rFonts w:ascii="Calibri" w:hAnsi="Calibri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F75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b w:val="0"/>
      <w:i/>
      <w:iCs/>
      <w:color w:val="667085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70" w:line="269" w:lineRule="auto"/>
      <w:contextualSpacing/>
    </w:pPr>
    <w:rPr>
      <w:rFonts w:ascii="Calibri" w:hAnsi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70" w:line="269" w:lineRule="auto"/>
      <w:contextualSpacing/>
    </w:pPr>
    <w:rPr>
      <w:rFonts w:ascii="Calibri" w:hAnsi="Calibri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70" w:line="269" w:lineRule="auto"/>
      <w:contextualSpacing/>
    </w:pPr>
    <w:rPr>
      <w:rFonts w:ascii="Calibri" w:hAnsi="Calibr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Finance Management System — Target Architecture and Implementation Roadmap V1.1</dc:title>
  <dc:subject>Locked local-first and centralized multi-client target architecture with Golden Business Outcome Harness</dc:subject>
  <dc:creator>Finance Management System Project</dc:creator>
  <cp:keywords>finance, architecture, Tauri, React, Rust, SQLite, PostgreSQL, local-first, multi-client, golden business outcome harness, testing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