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i w:val="0"/>
          <w:color w:val="0B2545"/>
          <w:sz w:val="46"/>
        </w:rPr>
        <w:t>DASHBOARD</w:t>
      </w:r>
    </w:p>
    <w:p>
      <w:pPr>
        <w:pStyle w:val="Subtitle"/>
      </w:pPr>
      <w:r>
        <w:rPr>
          <w:rFonts w:ascii="Calibri" w:hAnsi="Calibri"/>
          <w:b w:val="0"/>
          <w:i w:val="0"/>
          <w:color w:val="5B6573"/>
          <w:sz w:val="26"/>
        </w:rPr>
        <w:t>Current Architecture, Formula Reconstruction and Complete Target Requirements</w:t>
      </w:r>
    </w:p>
    <w:p>
      <w:pPr>
        <w:spacing w:after="40"/>
      </w:pPr>
      <w:r>
        <w:rPr>
          <w:rFonts w:ascii="Calibri" w:hAnsi="Calibri"/>
          <w:b/>
          <w:i w:val="0"/>
          <w:color w:val="0B2545"/>
          <w:sz w:val="22"/>
        </w:rPr>
        <w:t xml:space="preserve">Status: </w:t>
      </w:r>
      <w:r>
        <w:rPr>
          <w:rFonts w:ascii="Calibri" w:hAnsi="Calibri"/>
          <w:b w:val="0"/>
          <w:i w:val="0"/>
          <w:color w:val="0B2545"/>
          <w:sz w:val="22"/>
        </w:rPr>
        <w:t>DESIGN COMPLETE — approved foundation for implementation</w:t>
      </w:r>
    </w:p>
    <w:p>
      <w:pPr>
        <w:spacing w:after="40"/>
      </w:pPr>
      <w:r>
        <w:rPr>
          <w:rFonts w:ascii="Calibri" w:hAnsi="Calibri"/>
          <w:b/>
          <w:i w:val="0"/>
          <w:color w:val="0B2545"/>
          <w:sz w:val="22"/>
        </w:rPr>
        <w:t xml:space="preserve">Version: </w:t>
      </w:r>
      <w:r>
        <w:rPr>
          <w:rFonts w:ascii="Calibri" w:hAnsi="Calibri"/>
          <w:b w:val="0"/>
          <w:i w:val="0"/>
          <w:color w:val="0B2545"/>
          <w:sz w:val="22"/>
        </w:rPr>
        <w:t>1.0</w:t>
      </w:r>
    </w:p>
    <w:p>
      <w:pPr>
        <w:spacing w:after="40"/>
      </w:pPr>
      <w:r>
        <w:rPr>
          <w:rFonts w:ascii="Calibri" w:hAnsi="Calibri"/>
          <w:b/>
          <w:i w:val="0"/>
          <w:color w:val="0B2545"/>
          <w:sz w:val="22"/>
        </w:rPr>
        <w:t xml:space="preserve">Sources: </w:t>
      </w:r>
      <w:r>
        <w:rPr>
          <w:rFonts w:ascii="Calibri" w:hAnsi="Calibri"/>
          <w:b w:val="0"/>
          <w:i w:val="0"/>
          <w:color w:val="0B2545"/>
          <w:sz w:val="22"/>
        </w:rPr>
        <w:t>2026-tracking spreadseet.xlsb; Dashboard Tab.docx; owner decisions through 14 August 2026</w:t>
      </w:r>
    </w:p>
    <w:p>
      <w:pPr>
        <w:spacing w:after="40"/>
      </w:pPr>
      <w:r>
        <w:rPr>
          <w:rFonts w:ascii="Calibri" w:hAnsi="Calibri"/>
          <w:b/>
          <w:i w:val="0"/>
          <w:color w:val="0B2545"/>
          <w:sz w:val="22"/>
        </w:rPr>
        <w:t xml:space="preserve">Highlighted scope: </w:t>
      </w:r>
      <w:r>
        <w:rPr>
          <w:rFonts w:ascii="Calibri" w:hAnsi="Calibri"/>
          <w:b w:val="0"/>
          <w:i w:val="0"/>
          <w:color w:val="0B2545"/>
          <w:sz w:val="22"/>
        </w:rPr>
        <w:t>Account burndowns; Dividend Plan and sufficiency; monthly performance; ROI current-period snapshot</w:t>
      </w:r>
    </w:p>
    <w:p>
      <w:pPr>
        <w:spacing w:after="40"/>
      </w:pPr>
      <w:r>
        <w:rPr>
          <w:rFonts w:ascii="Calibri" w:hAnsi="Calibri"/>
          <w:b/>
          <w:i w:val="0"/>
          <w:color w:val="0B2545"/>
          <w:sz w:val="22"/>
        </w:rPr>
        <w:t xml:space="preserve">Target role: </w:t>
      </w:r>
      <w:r>
        <w:rPr>
          <w:rFonts w:ascii="Calibri" w:hAnsi="Calibri"/>
          <w:b w:val="0"/>
          <w:i w:val="0"/>
          <w:color w:val="0B2545"/>
          <w:sz w:val="22"/>
        </w:rPr>
        <w:t>Presentation and projection layer over governed application data; never an independent data store</w:t>
      </w:r>
    </w:p>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20" w:type="dxa"/>
              <w:bottom w:w="120" w:type="dxa"/>
              <w:start w:w="120" w:type="dxa"/>
              <w:end w:w="120" w:type="dxa"/>
            </w:tcMar>
            <w:shd w:fill="EAF4E2"/>
          </w:tcPr>
          <w:p>
            <w:pPr>
              <w:spacing w:after="0"/>
            </w:pPr>
            <w:r>
              <w:rPr>
                <w:rFonts w:ascii="Calibri" w:hAnsi="Calibri"/>
                <w:b/>
                <w:i w:val="0"/>
                <w:color w:val="315B24"/>
                <w:sz w:val="22"/>
              </w:rPr>
              <w:t xml:space="preserve">Design disposition: </w:t>
            </w:r>
            <w:r>
              <w:rPr>
                <w:rFonts w:ascii="Calibri" w:hAnsi="Calibri"/>
                <w:b w:val="0"/>
                <w:i w:val="0"/>
                <w:color w:val="315B24"/>
                <w:sz w:val="22"/>
              </w:rPr>
              <w:t>The Dashboard target architecture is complete. It preserves the accurate ROI performance snapshot and the owner’s cash-burndown, income-plan and household-sufficiency intent while removing duplicate entry, hardcoded ranges, broken month pointers and plan-history loss. Each source fact is captured once and reused throughout the application.</w:t>
            </w:r>
          </w:p>
        </w:tc>
      </w:tr>
    </w:tbl>
    <w:p>
      <w:pPr>
        <w:spacing w:after="20"/>
      </w:pPr>
    </w:p>
    <w:p>
      <w:pPr>
        <w:pStyle w:val="Heading1"/>
      </w:pPr>
      <w:r>
        <w:t>1. Business Purpose and Architecture Boundary</w:t>
      </w:r>
    </w:p>
    <w:p>
      <w:r>
        <w:rPr>
          <w:rFonts w:ascii="Calibri" w:hAnsi="Calibri"/>
          <w:b w:val="0"/>
          <w:i w:val="0"/>
          <w:color w:val="0B2545"/>
          <w:sz w:val="22"/>
        </w:rPr>
        <w:t>The Dashboard is the operating and decision presentation layer for weekly cash safety, planned dividend capacity, household-income coverage and realized investment performance. It combines information needed during Friday/Saturday closeout and displays both current status and forward risk.</w:t>
      </w:r>
    </w:p>
    <w:p>
      <w:r>
        <w:rPr>
          <w:rFonts w:ascii="Calibri" w:hAnsi="Calibri"/>
          <w:b w:val="0"/>
          <w:i w:val="0"/>
          <w:color w:val="0B2545"/>
          <w:sz w:val="22"/>
        </w:rPr>
        <w:t>The target Dashboard does not own transaction, plan, balance or budget facts. It queries governed services and calculated views. A correction to a source fact automatically updates every Dashboard area, Trends, Income Plan and burndown calculation that consumes it.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20" w:type="dxa"/>
              <w:bottom w:w="120" w:type="dxa"/>
              <w:start w:w="120" w:type="dxa"/>
              <w:end w:w="120" w:type="dxa"/>
            </w:tcMar>
            <w:shd w:fill="E8EEF5"/>
          </w:tcPr>
          <w:p>
            <w:pPr>
              <w:spacing w:after="0"/>
            </w:pPr>
            <w:r>
              <w:rPr>
                <w:rFonts w:ascii="Calibri" w:hAnsi="Calibri"/>
                <w:b/>
                <w:i w:val="0"/>
                <w:color w:val="1F4D78"/>
                <w:sz w:val="22"/>
              </w:rPr>
              <w:t xml:space="preserve">Capture-once rule: </w:t>
            </w:r>
            <w:r>
              <w:rPr>
                <w:rFonts w:ascii="Calibri" w:hAnsi="Calibri"/>
                <w:b w:val="0"/>
                <w:i w:val="0"/>
                <w:color w:val="1F4D78"/>
                <w:sz w:val="22"/>
              </w:rPr>
              <w:t>No weekly balance, dividend actual, planned payment, withdrawal, medical expense or ROI result may require re-entry on the Dashboard. Manual work is limited to the authoritative weekly capture or event-entry workspace until APIs replace that source adapter.</w:t>
            </w:r>
          </w:p>
        </w:tc>
      </w:tr>
    </w:tbl>
    <w:p>
      <w:pPr>
        <w:spacing w:after="20"/>
      </w:pPr>
    </w:p>
    <w:p>
      <w:pPr>
        <w:pStyle w:val="Heading1"/>
      </w:pPr>
      <w:r>
        <w:t>2. Highlighted Dashboard Areas</w:t>
      </w:r>
    </w:p>
    <w:tbl>
      <w:tblPr>
        <w:tblStyle w:val="TableGrid"/>
        <w:tblW w:type="dxa" w:w="9360"/>
        <w:jc w:val="left"/>
        <w:tblLayout w:type="fixed"/>
        <w:tblLook w:firstColumn="1" w:firstRow="1" w:lastColumn="0" w:lastRow="0" w:noHBand="0" w:noVBand="1" w:val="04A0"/>
        <w:tblInd w:w="120" w:type="dxa"/>
      </w:tblPr>
      <w:tblGrid>
        <w:gridCol w:w="2450"/>
        <w:gridCol w:w="1500"/>
        <w:gridCol w:w="5410"/>
      </w:tblGrid>
      <w:tr>
        <w:trPr>
          <w:tblHeader w:val="true"/>
          <w:cantSplit/>
        </w:trPr>
        <w:tc>
          <w:tcPr>
            <w:tcW w:type="dxa" w:w="2450"/>
            <w:shd w:fill="F2F4F7"/>
            <w:vAlign w:val="center"/>
            <w:tcMar>
              <w:top w:w="80" w:type="dxa"/>
              <w:bottom w:w="80" w:type="dxa"/>
              <w:start w:w="120" w:type="dxa"/>
              <w:end w:w="120" w:type="dxa"/>
            </w:tcMar>
          </w:tcPr>
          <w:p>
            <w:pPr>
              <w:spacing w:after="0"/>
            </w:pPr>
            <w:r>
              <w:rPr>
                <w:rFonts w:ascii="Calibri" w:hAnsi="Calibri"/>
                <w:b/>
                <w:i w:val="0"/>
                <w:color w:val="0B2545"/>
                <w:sz w:val="17"/>
              </w:rPr>
              <w:t>Area</w:t>
            </w:r>
          </w:p>
        </w:tc>
        <w:tc>
          <w:tcPr>
            <w:tcW w:type="dxa" w:w="1500"/>
            <w:shd w:fill="F2F4F7"/>
            <w:vAlign w:val="center"/>
            <w:tcMar>
              <w:top w:w="80" w:type="dxa"/>
              <w:bottom w:w="80" w:type="dxa"/>
              <w:start w:w="120" w:type="dxa"/>
              <w:end w:w="120" w:type="dxa"/>
            </w:tcMar>
          </w:tcPr>
          <w:p>
            <w:pPr>
              <w:spacing w:after="0"/>
            </w:pPr>
            <w:r>
              <w:rPr>
                <w:rFonts w:ascii="Calibri" w:hAnsi="Calibri"/>
                <w:b/>
                <w:i w:val="0"/>
                <w:color w:val="0B2545"/>
                <w:sz w:val="17"/>
              </w:rPr>
              <w:t>Legacy range</w:t>
            </w:r>
          </w:p>
        </w:tc>
        <w:tc>
          <w:tcPr>
            <w:tcW w:type="dxa" w:w="5410"/>
            <w:shd w:fill="F2F4F7"/>
            <w:vAlign w:val="center"/>
            <w:tcMar>
              <w:top w:w="80" w:type="dxa"/>
              <w:bottom w:w="80" w:type="dxa"/>
              <w:start w:w="120" w:type="dxa"/>
              <w:end w:w="120" w:type="dxa"/>
            </w:tcMar>
          </w:tcPr>
          <w:p>
            <w:pPr>
              <w:spacing w:after="0"/>
            </w:pPr>
            <w:r>
              <w:rPr>
                <w:rFonts w:ascii="Calibri" w:hAnsi="Calibri"/>
                <w:b/>
                <w:i w:val="0"/>
                <w:color w:val="0B2545"/>
                <w:sz w:val="17"/>
              </w:rPr>
              <w:t>Primary business decision</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ROI pivots and current week</w:t>
            </w:r>
          </w:p>
        </w:tc>
        <w:tc>
          <w:tcPr>
            <w:tcW w:type="dxa" w:w="1500"/>
            <w:vAlign w:val="center"/>
            <w:tcMar>
              <w:top w:w="80" w:type="dxa"/>
              <w:bottom w:w="80" w:type="dxa"/>
              <w:start w:w="120" w:type="dxa"/>
              <w:end w:w="120" w:type="dxa"/>
            </w:tcMar>
          </w:tcPr>
          <w:p>
            <w:pPr>
              <w:spacing w:after="0" w:line="252" w:lineRule="auto"/>
            </w:pPr>
            <w:r>
              <w:rPr>
                <w:rFonts w:ascii="Calibri" w:hAnsi="Calibri"/>
                <w:b w:val="0"/>
                <w:i w:val="0"/>
                <w:color w:val="0B2545"/>
                <w:sz w:val="17"/>
              </w:rPr>
              <w:t>C1:D44</w:t>
            </w:r>
          </w:p>
        </w:tc>
        <w:tc>
          <w:tcPr>
            <w:tcW w:type="dxa" w:w="5410"/>
            <w:vAlign w:val="center"/>
            <w:tcMar>
              <w:top w:w="80" w:type="dxa"/>
              <w:bottom w:w="80" w:type="dxa"/>
              <w:start w:w="120" w:type="dxa"/>
              <w:end w:w="120" w:type="dxa"/>
            </w:tcMar>
          </w:tcPr>
          <w:p>
            <w:pPr>
              <w:spacing w:after="0" w:line="252" w:lineRule="auto"/>
            </w:pPr>
            <w:r>
              <w:rPr>
                <w:rFonts w:ascii="Calibri" w:hAnsi="Calibri"/>
                <w:b w:val="0"/>
                <w:i w:val="0"/>
                <w:color w:val="0B2545"/>
                <w:sz w:val="17"/>
              </w:rPr>
              <w:t>What realized investment activity has occurred by month, year and current Saturday–Friday period?</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Monthly/YTD performance</w:t>
            </w:r>
          </w:p>
        </w:tc>
        <w:tc>
          <w:tcPr>
            <w:tcW w:type="dxa" w:w="1500"/>
            <w:vAlign w:val="center"/>
            <w:tcMar>
              <w:top w:w="80" w:type="dxa"/>
              <w:bottom w:w="80" w:type="dxa"/>
              <w:start w:w="120" w:type="dxa"/>
              <w:end w:w="120" w:type="dxa"/>
            </w:tcMar>
          </w:tcPr>
          <w:p>
            <w:pPr>
              <w:spacing w:after="0" w:line="252" w:lineRule="auto"/>
            </w:pPr>
            <w:r>
              <w:rPr>
                <w:rFonts w:ascii="Calibri" w:hAnsi="Calibri"/>
                <w:b w:val="0"/>
                <w:i w:val="0"/>
                <w:color w:val="0B2545"/>
                <w:sz w:val="17"/>
              </w:rPr>
              <w:t>G2:P38</w:t>
            </w:r>
          </w:p>
        </w:tc>
        <w:tc>
          <w:tcPr>
            <w:tcW w:type="dxa" w:w="5410"/>
            <w:vAlign w:val="center"/>
            <w:tcMar>
              <w:top w:w="80" w:type="dxa"/>
              <w:bottom w:w="80" w:type="dxa"/>
              <w:start w:w="120" w:type="dxa"/>
              <w:end w:w="120" w:type="dxa"/>
            </w:tcMar>
          </w:tcPr>
          <w:p>
            <w:pPr>
              <w:spacing w:after="0" w:line="252" w:lineRule="auto"/>
            </w:pPr>
            <w:r>
              <w:rPr>
                <w:rFonts w:ascii="Calibri" w:hAnsi="Calibri"/>
                <w:b w:val="0"/>
                <w:i w:val="0"/>
                <w:color w:val="0B2545"/>
                <w:sz w:val="17"/>
              </w:rPr>
              <w:t>How do actual realized results compare with plan, prior year and the required household minimum?</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Dividend Plan and sufficiency</w:t>
            </w:r>
          </w:p>
        </w:tc>
        <w:tc>
          <w:tcPr>
            <w:tcW w:type="dxa" w:w="1500"/>
            <w:vAlign w:val="center"/>
            <w:tcMar>
              <w:top w:w="80" w:type="dxa"/>
              <w:bottom w:w="80" w:type="dxa"/>
              <w:start w:w="120" w:type="dxa"/>
              <w:end w:w="120" w:type="dxa"/>
            </w:tcMar>
          </w:tcPr>
          <w:p>
            <w:pPr>
              <w:spacing w:after="0" w:line="252" w:lineRule="auto"/>
            </w:pPr>
            <w:r>
              <w:rPr>
                <w:rFonts w:ascii="Calibri" w:hAnsi="Calibri"/>
                <w:b w:val="0"/>
                <w:i w:val="0"/>
                <w:color w:val="0B2545"/>
                <w:sz w:val="17"/>
              </w:rPr>
              <w:t>C69:P97</w:t>
            </w:r>
          </w:p>
        </w:tc>
        <w:tc>
          <w:tcPr>
            <w:tcW w:type="dxa" w:w="5410"/>
            <w:vAlign w:val="center"/>
            <w:tcMar>
              <w:top w:w="80" w:type="dxa"/>
              <w:bottom w:w="80" w:type="dxa"/>
              <w:start w:w="120" w:type="dxa"/>
              <w:end w:w="120" w:type="dxa"/>
            </w:tcMar>
          </w:tcPr>
          <w:p>
            <w:pPr>
              <w:spacing w:after="0" w:line="252" w:lineRule="auto"/>
            </w:pPr>
            <w:r>
              <w:rPr>
                <w:rFonts w:ascii="Calibri" w:hAnsi="Calibri"/>
                <w:b w:val="0"/>
                <w:i w:val="0"/>
                <w:color w:val="0B2545"/>
                <w:sz w:val="17"/>
              </w:rPr>
              <w:t>What income is the current portfolio plan expected to produce by account and month, and does it cover household requirements?</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Income/Car/Health burndown</w:t>
            </w:r>
          </w:p>
        </w:tc>
        <w:tc>
          <w:tcPr>
            <w:tcW w:type="dxa" w:w="1500"/>
            <w:vAlign w:val="center"/>
            <w:tcMar>
              <w:top w:w="80" w:type="dxa"/>
              <w:bottom w:w="80" w:type="dxa"/>
              <w:start w:w="120" w:type="dxa"/>
              <w:end w:w="120" w:type="dxa"/>
            </w:tcMar>
          </w:tcPr>
          <w:p>
            <w:pPr>
              <w:spacing w:after="0" w:line="252" w:lineRule="auto"/>
            </w:pPr>
            <w:r>
              <w:rPr>
                <w:rFonts w:ascii="Calibri" w:hAnsi="Calibri"/>
                <w:b w:val="0"/>
                <w:i w:val="0"/>
                <w:color w:val="0B2545"/>
                <w:sz w:val="17"/>
              </w:rPr>
              <w:t>T49:BD79</w:t>
            </w:r>
          </w:p>
        </w:tc>
        <w:tc>
          <w:tcPr>
            <w:tcW w:type="dxa" w:w="5410"/>
            <w:vAlign w:val="center"/>
            <w:tcMar>
              <w:top w:w="80" w:type="dxa"/>
              <w:bottom w:w="80" w:type="dxa"/>
              <w:start w:w="120" w:type="dxa"/>
              <w:end w:w="120" w:type="dxa"/>
            </w:tcMar>
          </w:tcPr>
          <w:p>
            <w:pPr>
              <w:spacing w:after="0" w:line="252" w:lineRule="auto"/>
            </w:pPr>
            <w:r>
              <w:rPr>
                <w:rFonts w:ascii="Calibri" w:hAnsi="Calibri"/>
                <w:b w:val="0"/>
                <w:i w:val="0"/>
                <w:color w:val="0B2545"/>
                <w:sz w:val="17"/>
              </w:rPr>
              <w:t>Will each operating account remain above its safety floor after planned income, withdrawals and expenses?</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Target addition: Roth burndown</w:t>
            </w:r>
          </w:p>
        </w:tc>
        <w:tc>
          <w:tcPr>
            <w:tcW w:type="dxa" w:w="1500"/>
            <w:vAlign w:val="center"/>
            <w:tcMar>
              <w:top w:w="80" w:type="dxa"/>
              <w:bottom w:w="80" w:type="dxa"/>
              <w:start w:w="120" w:type="dxa"/>
              <w:end w:w="120" w:type="dxa"/>
            </w:tcMar>
          </w:tcPr>
          <w:p>
            <w:pPr>
              <w:spacing w:after="0" w:line="252" w:lineRule="auto"/>
            </w:pPr>
            <w:r>
              <w:rPr>
                <w:rFonts w:ascii="Calibri" w:hAnsi="Calibri"/>
                <w:b w:val="0"/>
                <w:i w:val="0"/>
                <w:color w:val="0B2545"/>
                <w:sz w:val="17"/>
              </w:rPr>
              <w:t>Not present</w:t>
            </w:r>
          </w:p>
        </w:tc>
        <w:tc>
          <w:tcPr>
            <w:tcW w:type="dxa" w:w="5410"/>
            <w:vAlign w:val="center"/>
            <w:tcMar>
              <w:top w:w="80" w:type="dxa"/>
              <w:bottom w:w="80" w:type="dxa"/>
              <w:start w:w="120" w:type="dxa"/>
              <w:end w:w="120" w:type="dxa"/>
            </w:tcMar>
          </w:tcPr>
          <w:p>
            <w:pPr>
              <w:spacing w:after="0" w:line="252" w:lineRule="auto"/>
            </w:pPr>
            <w:r>
              <w:rPr>
                <w:rFonts w:ascii="Calibri" w:hAnsi="Calibri"/>
                <w:b w:val="0"/>
                <w:i w:val="0"/>
                <w:color w:val="0B2545"/>
                <w:sz w:val="17"/>
              </w:rPr>
              <w:t>Will planned Roth activity preserve the configured Roth cash/balance safety floor?</w:t>
            </w:r>
          </w:p>
        </w:tc>
      </w:tr>
    </w:tbl>
    <w:p>
      <w:pPr>
        <w:spacing w:after="20"/>
      </w:pPr>
    </w:p>
    <w:p>
      <w:pPr>
        <w:pStyle w:val="Heading1"/>
      </w:pPr>
      <w:r>
        <w:t>3. ROI Monthly Pivots and Current-Period Snapshot</w:t>
      </w:r>
    </w:p>
    <w:p>
      <w:r>
        <w:rPr>
          <w:rFonts w:ascii="Calibri" w:hAnsi="Calibri"/>
          <w:b w:val="0"/>
          <w:i w:val="0"/>
          <w:color w:val="0B2545"/>
          <w:sz w:val="22"/>
        </w:rPr>
        <w:t>The two pivot areas summarize ROI Gross Profit by calendar month for 2025 and 2026. They are the source for the monthly performance panels. The owner confirmed that this ROI-derived snapshot must be retained because it is the accurate realized-performance record.</w:t>
      </w:r>
    </w:p>
    <w:tbl>
      <w:tblPr>
        <w:tblStyle w:val="TableGrid"/>
        <w:tblW w:type="dxa" w:w="9360"/>
        <w:jc w:val="left"/>
        <w:tblLayout w:type="fixed"/>
        <w:tblLook w:firstColumn="1" w:firstRow="1" w:lastColumn="0" w:lastRow="0" w:noHBand="0" w:noVBand="1" w:val="04A0"/>
        <w:tblInd w:w="120" w:type="dxa"/>
      </w:tblPr>
      <w:tblGrid>
        <w:gridCol w:w="1900"/>
        <w:gridCol w:w="2750"/>
        <w:gridCol w:w="4710"/>
      </w:tblGrid>
      <w:tr>
        <w:trPr>
          <w:tblHeader w:val="true"/>
          <w:cantSplit/>
        </w:trPr>
        <w:tc>
          <w:tcPr>
            <w:tcW w:type="dxa" w:w="1900"/>
            <w:shd w:fill="F2F4F7"/>
            <w:vAlign w:val="center"/>
            <w:tcMar>
              <w:top w:w="80" w:type="dxa"/>
              <w:bottom w:w="80" w:type="dxa"/>
              <w:start w:w="120" w:type="dxa"/>
              <w:end w:w="120" w:type="dxa"/>
            </w:tcMar>
          </w:tcPr>
          <w:p>
            <w:pPr>
              <w:spacing w:after="0"/>
            </w:pPr>
            <w:r>
              <w:rPr>
                <w:rFonts w:ascii="Calibri" w:hAnsi="Calibri"/>
                <w:b/>
                <w:i w:val="0"/>
                <w:color w:val="0B2545"/>
                <w:sz w:val="16"/>
              </w:rPr>
              <w:t>As-is element</w:t>
            </w:r>
          </w:p>
        </w:tc>
        <w:tc>
          <w:tcPr>
            <w:tcW w:type="dxa" w:w="2750"/>
            <w:shd w:fill="F2F4F7"/>
            <w:vAlign w:val="center"/>
            <w:tcMar>
              <w:top w:w="80" w:type="dxa"/>
              <w:bottom w:w="80" w:type="dxa"/>
              <w:start w:w="120" w:type="dxa"/>
              <w:end w:w="120" w:type="dxa"/>
            </w:tcMar>
          </w:tcPr>
          <w:p>
            <w:pPr>
              <w:spacing w:after="0"/>
            </w:pPr>
            <w:r>
              <w:rPr>
                <w:rFonts w:ascii="Calibri" w:hAnsi="Calibri"/>
                <w:b/>
                <w:i w:val="0"/>
                <w:color w:val="0B2545"/>
                <w:sz w:val="16"/>
              </w:rPr>
              <w:t>Formula/source</w:t>
            </w:r>
          </w:p>
        </w:tc>
        <w:tc>
          <w:tcPr>
            <w:tcW w:type="dxa" w:w="4710"/>
            <w:shd w:fill="F2F4F7"/>
            <w:vAlign w:val="center"/>
            <w:tcMar>
              <w:top w:w="80" w:type="dxa"/>
              <w:bottom w:w="80" w:type="dxa"/>
              <w:start w:w="120" w:type="dxa"/>
              <w:end w:w="120" w:type="dxa"/>
            </w:tcMar>
          </w:tcPr>
          <w:p>
            <w:pPr>
              <w:spacing w:after="0"/>
            </w:pPr>
            <w:r>
              <w:rPr>
                <w:rFonts w:ascii="Calibri" w:hAnsi="Calibri"/>
                <w:b/>
                <w:i w:val="0"/>
                <w:color w:val="0B2545"/>
                <w:sz w:val="16"/>
              </w:rPr>
              <w:t>Intent and target treatment</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6"/>
              </w:rPr>
              <w:t>Account filter</w:t>
            </w:r>
          </w:p>
        </w:tc>
        <w:tc>
          <w:tcPr>
            <w:tcW w:type="dxa" w:w="2750"/>
            <w:vAlign w:val="center"/>
            <w:tcMar>
              <w:top w:w="80" w:type="dxa"/>
              <w:bottom w:w="80" w:type="dxa"/>
              <w:start w:w="120" w:type="dxa"/>
              <w:end w:w="120" w:type="dxa"/>
            </w:tcMar>
          </w:tcPr>
          <w:p>
            <w:pPr>
              <w:spacing w:after="0" w:line="252" w:lineRule="auto"/>
            </w:pPr>
            <w:r>
              <w:rPr>
                <w:rFonts w:ascii="Calibri" w:hAnsi="Calibri"/>
                <w:b w:val="0"/>
                <w:i w:val="0"/>
                <w:color w:val="0B2545"/>
                <w:sz w:val="16"/>
              </w:rPr>
              <w:t>ROI pivot filter</w:t>
            </w:r>
          </w:p>
        </w:tc>
        <w:tc>
          <w:tcPr>
            <w:tcW w:type="dxa" w:w="4710"/>
            <w:vAlign w:val="center"/>
            <w:tcMar>
              <w:top w:w="80" w:type="dxa"/>
              <w:bottom w:w="80" w:type="dxa"/>
              <w:start w:w="120" w:type="dxa"/>
              <w:end w:w="120" w:type="dxa"/>
            </w:tcMar>
          </w:tcPr>
          <w:p>
            <w:pPr>
              <w:spacing w:after="0" w:line="252" w:lineRule="auto"/>
            </w:pPr>
            <w:r>
              <w:rPr>
                <w:rFonts w:ascii="Calibri" w:hAnsi="Calibri"/>
                <w:b w:val="0"/>
                <w:i w:val="0"/>
                <w:color w:val="0B2545"/>
                <w:sz w:val="16"/>
              </w:rPr>
              <w:t>Filter the realized ledger by account without changing the underlying facts.</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6"/>
              </w:rPr>
              <w:t>Flag filter</w:t>
            </w:r>
          </w:p>
        </w:tc>
        <w:tc>
          <w:tcPr>
            <w:tcW w:type="dxa" w:w="2750"/>
            <w:vAlign w:val="center"/>
            <w:tcMar>
              <w:top w:w="80" w:type="dxa"/>
              <w:bottom w:w="80" w:type="dxa"/>
              <w:start w:w="120" w:type="dxa"/>
              <w:end w:w="120" w:type="dxa"/>
            </w:tcMar>
          </w:tcPr>
          <w:p>
            <w:pPr>
              <w:spacing w:after="0" w:line="252" w:lineRule="auto"/>
            </w:pPr>
            <w:r>
              <w:rPr>
                <w:rFonts w:ascii="Calibri" w:hAnsi="Calibri"/>
                <w:b w:val="0"/>
                <w:i w:val="0"/>
                <w:color w:val="0B2545"/>
                <w:sz w:val="16"/>
              </w:rPr>
              <w:t>ROI pivot filter</w:t>
            </w:r>
          </w:p>
        </w:tc>
        <w:tc>
          <w:tcPr>
            <w:tcW w:type="dxa" w:w="4710"/>
            <w:vAlign w:val="center"/>
            <w:tcMar>
              <w:top w:w="80" w:type="dxa"/>
              <w:bottom w:w="80" w:type="dxa"/>
              <w:start w:w="120" w:type="dxa"/>
              <w:end w:w="120" w:type="dxa"/>
            </w:tcMar>
          </w:tcPr>
          <w:p>
            <w:pPr>
              <w:spacing w:after="0" w:line="252" w:lineRule="auto"/>
            </w:pPr>
            <w:r>
              <w:rPr>
                <w:rFonts w:ascii="Calibri" w:hAnsi="Calibri"/>
                <w:b w:val="0"/>
                <w:i w:val="0"/>
                <w:color w:val="0B2545"/>
                <w:sz w:val="16"/>
              </w:rPr>
              <w:t>Legacy classification filter. Target uses governed Investment Activity Ledger activity types.</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6"/>
              </w:rPr>
              <w:t>New Year</w:t>
            </w:r>
          </w:p>
        </w:tc>
        <w:tc>
          <w:tcPr>
            <w:tcW w:type="dxa" w:w="2750"/>
            <w:vAlign w:val="center"/>
            <w:tcMar>
              <w:top w:w="80" w:type="dxa"/>
              <w:bottom w:w="80" w:type="dxa"/>
              <w:start w:w="120" w:type="dxa"/>
              <w:end w:w="120" w:type="dxa"/>
            </w:tcMar>
          </w:tcPr>
          <w:p>
            <w:pPr>
              <w:spacing w:after="0" w:line="252" w:lineRule="auto"/>
            </w:pPr>
            <w:r>
              <w:rPr>
                <w:rFonts w:ascii="Calibri" w:hAnsi="Calibri"/>
                <w:b w:val="0"/>
                <w:i w:val="0"/>
                <w:color w:val="0B2545"/>
                <w:sz w:val="16"/>
              </w:rPr>
              <w:t>ROI year filter</w:t>
            </w:r>
          </w:p>
        </w:tc>
        <w:tc>
          <w:tcPr>
            <w:tcW w:type="dxa" w:w="4710"/>
            <w:vAlign w:val="center"/>
            <w:tcMar>
              <w:top w:w="80" w:type="dxa"/>
              <w:bottom w:w="80" w:type="dxa"/>
              <w:start w:w="120" w:type="dxa"/>
              <w:end w:w="120" w:type="dxa"/>
            </w:tcMar>
          </w:tcPr>
          <w:p>
            <w:pPr>
              <w:spacing w:after="0" w:line="252" w:lineRule="auto"/>
            </w:pPr>
            <w:r>
              <w:rPr>
                <w:rFonts w:ascii="Calibri" w:hAnsi="Calibri"/>
                <w:b w:val="0"/>
                <w:i w:val="0"/>
                <w:color w:val="0B2545"/>
                <w:sz w:val="16"/>
              </w:rPr>
              <w:t>Calendar year derived from canonical event date.</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6"/>
              </w:rPr>
              <w:t>New Month transs</w:t>
            </w:r>
          </w:p>
        </w:tc>
        <w:tc>
          <w:tcPr>
            <w:tcW w:type="dxa" w:w="2750"/>
            <w:vAlign w:val="center"/>
            <w:tcMar>
              <w:top w:w="80" w:type="dxa"/>
              <w:bottom w:w="80" w:type="dxa"/>
              <w:start w:w="120" w:type="dxa"/>
              <w:end w:w="120" w:type="dxa"/>
            </w:tcMar>
          </w:tcPr>
          <w:p>
            <w:pPr>
              <w:spacing w:after="0" w:line="252" w:lineRule="auto"/>
            </w:pPr>
            <w:r>
              <w:rPr>
                <w:rFonts w:ascii="Calibri" w:hAnsi="Calibri"/>
                <w:b w:val="0"/>
                <w:i w:val="0"/>
                <w:color w:val="0B2545"/>
                <w:sz w:val="16"/>
              </w:rPr>
              <w:t>ROI month grouping</w:t>
            </w:r>
          </w:p>
        </w:tc>
        <w:tc>
          <w:tcPr>
            <w:tcW w:type="dxa" w:w="4710"/>
            <w:vAlign w:val="center"/>
            <w:tcMar>
              <w:top w:w="80" w:type="dxa"/>
              <w:bottom w:w="80" w:type="dxa"/>
              <w:start w:w="120" w:type="dxa"/>
              <w:end w:w="120" w:type="dxa"/>
            </w:tcMar>
          </w:tcPr>
          <w:p>
            <w:pPr>
              <w:spacing w:after="0" w:line="252" w:lineRule="auto"/>
            </w:pPr>
            <w:r>
              <w:rPr>
                <w:rFonts w:ascii="Calibri" w:hAnsi="Calibri"/>
                <w:b w:val="0"/>
                <w:i w:val="0"/>
                <w:color w:val="0B2545"/>
                <w:sz w:val="16"/>
              </w:rPr>
              <w:t>Calendar month derived from canonical event date; helper field is not stored canonically.</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6"/>
              </w:rPr>
              <w:t>Gross Profit</w:t>
            </w:r>
          </w:p>
        </w:tc>
        <w:tc>
          <w:tcPr>
            <w:tcW w:type="dxa" w:w="2750"/>
            <w:vAlign w:val="center"/>
            <w:tcMar>
              <w:top w:w="80" w:type="dxa"/>
              <w:bottom w:w="80" w:type="dxa"/>
              <w:start w:w="120" w:type="dxa"/>
              <w:end w:w="120" w:type="dxa"/>
            </w:tcMar>
          </w:tcPr>
          <w:p>
            <w:pPr>
              <w:spacing w:after="0" w:line="252" w:lineRule="auto"/>
            </w:pPr>
            <w:r>
              <w:rPr>
                <w:rFonts w:ascii="Calibri" w:hAnsi="Calibri"/>
                <w:b w:val="0"/>
                <w:i w:val="0"/>
                <w:color w:val="0B2545"/>
                <w:sz w:val="16"/>
              </w:rPr>
              <w:t>Sum of ROI Gross Profit</w:t>
            </w:r>
          </w:p>
        </w:tc>
        <w:tc>
          <w:tcPr>
            <w:tcW w:type="dxa" w:w="4710"/>
            <w:vAlign w:val="center"/>
            <w:tcMar>
              <w:top w:w="80" w:type="dxa"/>
              <w:bottom w:w="80" w:type="dxa"/>
              <w:start w:w="120" w:type="dxa"/>
              <w:end w:w="120" w:type="dxa"/>
            </w:tcMar>
          </w:tcPr>
          <w:p>
            <w:pPr>
              <w:spacing w:after="0" w:line="252" w:lineRule="auto"/>
            </w:pPr>
            <w:r>
              <w:rPr>
                <w:rFonts w:ascii="Calibri" w:hAnsi="Calibri"/>
                <w:b w:val="0"/>
                <w:i w:val="0"/>
                <w:color w:val="0B2545"/>
                <w:sz w:val="16"/>
              </w:rPr>
              <w:t>Total qualifying realized investment results for the filter context.</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6"/>
              </w:rPr>
              <w:t>Current week / All Income</w:t>
            </w:r>
          </w:p>
        </w:tc>
        <w:tc>
          <w:tcPr>
            <w:tcW w:type="dxa" w:w="2750"/>
            <w:vAlign w:val="center"/>
            <w:tcMar>
              <w:top w:w="80" w:type="dxa"/>
              <w:bottom w:w="80" w:type="dxa"/>
              <w:start w:w="120" w:type="dxa"/>
              <w:end w:w="120" w:type="dxa"/>
            </w:tcMar>
          </w:tcPr>
          <w:p>
            <w:pPr>
              <w:spacing w:after="0" w:line="252" w:lineRule="auto"/>
            </w:pPr>
            <w:r>
              <w:rPr>
                <w:rFonts w:ascii="Calibri" w:hAnsi="Calibri"/>
                <w:b w:val="0"/>
                <w:i w:val="0"/>
                <w:color w:val="0B2545"/>
                <w:sz w:val="16"/>
              </w:rPr>
              <w:t>SUM(ROI_2025!L9583:L9681)</w:t>
            </w:r>
          </w:p>
        </w:tc>
        <w:tc>
          <w:tcPr>
            <w:tcW w:type="dxa" w:w="4710"/>
            <w:vAlign w:val="center"/>
            <w:tcMar>
              <w:top w:w="80" w:type="dxa"/>
              <w:bottom w:w="80" w:type="dxa"/>
              <w:start w:w="120" w:type="dxa"/>
              <w:end w:w="120" w:type="dxa"/>
            </w:tcMar>
          </w:tcPr>
          <w:p>
            <w:pPr>
              <w:spacing w:after="0" w:line="252" w:lineRule="auto"/>
            </w:pPr>
            <w:r>
              <w:rPr>
                <w:rFonts w:ascii="Calibri" w:hAnsi="Calibri"/>
                <w:b w:val="0"/>
                <w:i w:val="0"/>
                <w:color w:val="0B2545"/>
                <w:sz w:val="16"/>
              </w:rPr>
              <w:t>Hardcoded row range currently represents the current week. Replace with a dynamic Saturday–Friday ledger query.</w:t>
            </w:r>
          </w:p>
        </w:tc>
      </w:tr>
    </w:tbl>
    <w:p>
      <w:pPr>
        <w:spacing w:after="20"/>
      </w:pPr>
    </w:p>
    <w:p>
      <w:r>
        <w:rPr>
          <w:rFonts w:ascii="Calibri" w:hAnsi="Calibri"/>
          <w:b w:val="0"/>
          <w:i w:val="0"/>
          <w:color w:val="0B2545"/>
          <w:sz w:val="22"/>
        </w:rPr>
        <w:t>Target current-period realized result:</w:t>
      </w:r>
    </w:p>
    <w:p>
      <w:pPr>
        <w:pStyle w:val="ListBullet"/>
      </w:pPr>
      <w:r>
        <w:rPr>
          <w:rFonts w:ascii="Calibri" w:hAnsi="Calibri"/>
          <w:b w:val="0"/>
          <w:i w:val="0"/>
          <w:color w:val="0B2545"/>
          <w:sz w:val="22"/>
        </w:rPr>
        <w:t>Include dividends, covered-call premium, cash-secured-put premium, lot-specific sale profit/loss and day-trade profit/loss dated within the period.</w:t>
      </w:r>
    </w:p>
    <w:p>
      <w:pPr>
        <w:pStyle w:val="ListBullet"/>
      </w:pPr>
      <w:r>
        <w:rPr>
          <w:rFonts w:ascii="Calibri" w:hAnsi="Calibri"/>
          <w:b w:val="0"/>
          <w:i w:val="0"/>
          <w:color w:val="0B2545"/>
          <w:sz w:val="22"/>
        </w:rPr>
        <w:t>Exclude unrealized market-value changes, transfers, withdrawals, Social Security, withholding and other non-ROI cash.</w:t>
      </w:r>
    </w:p>
    <w:p>
      <w:pPr>
        <w:pStyle w:val="ListBullet"/>
      </w:pPr>
      <w:r>
        <w:rPr>
          <w:rFonts w:ascii="Calibri" w:hAnsi="Calibri"/>
          <w:b w:val="0"/>
          <w:i w:val="0"/>
          <w:color w:val="0B2545"/>
          <w:sz w:val="22"/>
        </w:rPr>
        <w:t>Retain lineage from the Dashboard total to every contributing Investment Activity Ledger event.</w:t>
      </w:r>
    </w:p>
    <w:p>
      <w:pPr>
        <w:pStyle w:val="ListBullet"/>
      </w:pPr>
      <w:r>
        <w:rPr>
          <w:rFonts w:ascii="Calibri" w:hAnsi="Calibri"/>
          <w:b w:val="0"/>
          <w:i w:val="0"/>
          <w:color w:val="0B2545"/>
          <w:sz w:val="22"/>
        </w:rPr>
        <w:t>Use the shared Saturday-through-Friday calendar: period_start Saturday, period_end Friday, with Saturday close/capture timestamp.</w:t>
      </w:r>
    </w:p>
    <w:p>
      <w:pPr>
        <w:pStyle w:val="Heading1"/>
      </w:pPr>
      <w:r>
        <w:t>4. Monthly and Year-over-Year Performance</w:t>
      </w:r>
    </w:p>
    <w:tbl>
      <w:tblPr>
        <w:tblStyle w:val="TableGrid"/>
        <w:tblW w:type="dxa" w:w="9360"/>
        <w:jc w:val="left"/>
        <w:tblLayout w:type="fixed"/>
        <w:tblLook w:firstColumn="1" w:firstRow="1" w:lastColumn="0" w:lastRow="0" w:noHBand="0" w:noVBand="1" w:val="04A0"/>
        <w:tblInd w:w="120" w:type="dxa"/>
      </w:tblPr>
      <w:tblGrid>
        <w:gridCol w:w="1700"/>
        <w:gridCol w:w="2800"/>
        <w:gridCol w:w="4860"/>
      </w:tblGrid>
      <w:tr>
        <w:trPr>
          <w:tblHeader w:val="true"/>
          <w:cantSplit/>
        </w:trPr>
        <w:tc>
          <w:tcPr>
            <w:tcW w:type="dxa" w:w="1700"/>
            <w:shd w:fill="F2F4F7"/>
            <w:vAlign w:val="center"/>
            <w:tcMar>
              <w:top w:w="80" w:type="dxa"/>
              <w:bottom w:w="80" w:type="dxa"/>
              <w:start w:w="120" w:type="dxa"/>
              <w:end w:w="120" w:type="dxa"/>
            </w:tcMar>
          </w:tcPr>
          <w:p>
            <w:pPr>
              <w:spacing w:after="0"/>
            </w:pPr>
            <w:r>
              <w:rPr>
                <w:rFonts w:ascii="Calibri" w:hAnsi="Calibri"/>
                <w:b/>
                <w:i w:val="0"/>
                <w:color w:val="0B2545"/>
                <w:sz w:val="16"/>
              </w:rPr>
              <w:t>Displayed field</w:t>
            </w:r>
          </w:p>
        </w:tc>
        <w:tc>
          <w:tcPr>
            <w:tcW w:type="dxa" w:w="2800"/>
            <w:shd w:fill="F2F4F7"/>
            <w:vAlign w:val="center"/>
            <w:tcMar>
              <w:top w:w="80" w:type="dxa"/>
              <w:bottom w:w="80" w:type="dxa"/>
              <w:start w:w="120" w:type="dxa"/>
              <w:end w:w="120" w:type="dxa"/>
            </w:tcMar>
          </w:tcPr>
          <w:p>
            <w:pPr>
              <w:spacing w:after="0"/>
            </w:pPr>
            <w:r>
              <w:rPr>
                <w:rFonts w:ascii="Calibri" w:hAnsi="Calibri"/>
                <w:b/>
                <w:i w:val="0"/>
                <w:color w:val="0B2545"/>
                <w:sz w:val="16"/>
              </w:rPr>
              <w:t>Verified as-is calculation</w:t>
            </w:r>
          </w:p>
        </w:tc>
        <w:tc>
          <w:tcPr>
            <w:tcW w:type="dxa" w:w="4860"/>
            <w:shd w:fill="F2F4F7"/>
            <w:vAlign w:val="center"/>
            <w:tcMar>
              <w:top w:w="80" w:type="dxa"/>
              <w:bottom w:w="80" w:type="dxa"/>
              <w:start w:w="120" w:type="dxa"/>
              <w:end w:w="120" w:type="dxa"/>
            </w:tcMar>
          </w:tcPr>
          <w:p>
            <w:pPr>
              <w:spacing w:after="0"/>
            </w:pPr>
            <w:r>
              <w:rPr>
                <w:rFonts w:ascii="Calibri" w:hAnsi="Calibri"/>
                <w:b/>
                <w:i w:val="0"/>
                <w:color w:val="0B2545"/>
                <w:sz w:val="16"/>
              </w:rPr>
              <w:t>Business meaning / corrected target</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6"/>
              </w:rPr>
              <w:t>Average Week</w:t>
            </w:r>
          </w:p>
        </w:tc>
        <w:tc>
          <w:tcPr>
            <w:tcW w:type="dxa" w:w="2800"/>
            <w:vAlign w:val="center"/>
            <w:tcMar>
              <w:top w:w="80" w:type="dxa"/>
              <w:bottom w:w="80" w:type="dxa"/>
              <w:start w:w="120" w:type="dxa"/>
              <w:end w:w="120" w:type="dxa"/>
            </w:tcMar>
          </w:tcPr>
          <w:p>
            <w:pPr>
              <w:spacing w:after="0" w:line="252" w:lineRule="auto"/>
            </w:pPr>
            <w:r>
              <w:rPr>
                <w:rFonts w:ascii="Calibri" w:hAnsi="Calibri"/>
                <w:b w:val="0"/>
                <w:i w:val="0"/>
                <w:color w:val="0B2545"/>
                <w:sz w:val="16"/>
              </w:rPr>
              <w:t>Total Month × 12 ÷ 52</w:t>
            </w:r>
          </w:p>
        </w:tc>
        <w:tc>
          <w:tcPr>
            <w:tcW w:type="dxa" w:w="4860"/>
            <w:vAlign w:val="center"/>
            <w:tcMar>
              <w:top w:w="80" w:type="dxa"/>
              <w:bottom w:w="80" w:type="dxa"/>
              <w:start w:w="120" w:type="dxa"/>
              <w:end w:w="120" w:type="dxa"/>
            </w:tcMar>
          </w:tcPr>
          <w:p>
            <w:pPr>
              <w:spacing w:after="0" w:line="252" w:lineRule="auto"/>
            </w:pPr>
            <w:r>
              <w:rPr>
                <w:rFonts w:ascii="Calibri" w:hAnsi="Calibri"/>
                <w:b w:val="0"/>
                <w:i w:val="0"/>
                <w:color w:val="0B2545"/>
                <w:sz w:val="16"/>
              </w:rPr>
              <w:t>Normalized weekly equivalent—not an average of observed weekly results. Rename accordingly.</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6"/>
              </w:rPr>
              <w:t>Total Month</w:t>
            </w:r>
          </w:p>
        </w:tc>
        <w:tc>
          <w:tcPr>
            <w:tcW w:type="dxa" w:w="2800"/>
            <w:vAlign w:val="center"/>
            <w:tcMar>
              <w:top w:w="80" w:type="dxa"/>
              <w:bottom w:w="80" w:type="dxa"/>
              <w:start w:w="120" w:type="dxa"/>
              <w:end w:w="120" w:type="dxa"/>
            </w:tcMar>
          </w:tcPr>
          <w:p>
            <w:pPr>
              <w:spacing w:after="0" w:line="252" w:lineRule="auto"/>
            </w:pPr>
            <w:r>
              <w:rPr>
                <w:rFonts w:ascii="Calibri" w:hAnsi="Calibri"/>
                <w:b w:val="0"/>
                <w:i w:val="0"/>
                <w:color w:val="0B2545"/>
                <w:sz w:val="16"/>
              </w:rPr>
              <w:t>GETPIVOTDATA monthly Gross Profit</w:t>
            </w:r>
          </w:p>
        </w:tc>
        <w:tc>
          <w:tcPr>
            <w:tcW w:type="dxa" w:w="4860"/>
            <w:vAlign w:val="center"/>
            <w:tcMar>
              <w:top w:w="80" w:type="dxa"/>
              <w:bottom w:w="80" w:type="dxa"/>
              <w:start w:w="120" w:type="dxa"/>
              <w:end w:w="120" w:type="dxa"/>
            </w:tcMar>
          </w:tcPr>
          <w:p>
            <w:pPr>
              <w:spacing w:after="0" w:line="252" w:lineRule="auto"/>
            </w:pPr>
            <w:r>
              <w:rPr>
                <w:rFonts w:ascii="Calibri" w:hAnsi="Calibri"/>
                <w:b w:val="0"/>
                <w:i w:val="0"/>
                <w:color w:val="0B2545"/>
                <w:sz w:val="16"/>
              </w:rPr>
              <w:t>All realized ROI activity for the calendar month.</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6"/>
              </w:rPr>
              <w:t>Divi Plan</w:t>
            </w:r>
          </w:p>
        </w:tc>
        <w:tc>
          <w:tcPr>
            <w:tcW w:type="dxa" w:w="2800"/>
            <w:vAlign w:val="center"/>
            <w:tcMar>
              <w:top w:w="80" w:type="dxa"/>
              <w:bottom w:w="80" w:type="dxa"/>
              <w:start w:w="120" w:type="dxa"/>
              <w:end w:w="120" w:type="dxa"/>
            </w:tcMar>
          </w:tcPr>
          <w:p>
            <w:pPr>
              <w:spacing w:after="0" w:line="252" w:lineRule="auto"/>
            </w:pPr>
            <w:r>
              <w:rPr>
                <w:rFonts w:ascii="Calibri" w:hAnsi="Calibri"/>
                <w:b w:val="0"/>
                <w:i w:val="0"/>
                <w:color w:val="0B2545"/>
                <w:sz w:val="16"/>
              </w:rPr>
              <w:t>Monthly value from the Dividend Plan pivot</w:t>
            </w:r>
          </w:p>
        </w:tc>
        <w:tc>
          <w:tcPr>
            <w:tcW w:type="dxa" w:w="4860"/>
            <w:vAlign w:val="center"/>
            <w:tcMar>
              <w:top w:w="80" w:type="dxa"/>
              <w:bottom w:w="80" w:type="dxa"/>
              <w:start w:w="120" w:type="dxa"/>
              <w:end w:w="120" w:type="dxa"/>
            </w:tcMar>
          </w:tcPr>
          <w:p>
            <w:pPr>
              <w:spacing w:after="0" w:line="252" w:lineRule="auto"/>
            </w:pPr>
            <w:r>
              <w:rPr>
                <w:rFonts w:ascii="Calibri" w:hAnsi="Calibri"/>
                <w:b w:val="0"/>
                <w:i w:val="0"/>
                <w:color w:val="0B2545"/>
                <w:sz w:val="16"/>
              </w:rPr>
              <w:t>Current planned monthly dividend amount. Target compares to the historically preserved plan snapshot applicable to the month.</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6"/>
              </w:rPr>
              <w:t>Dividends Paid</w:t>
            </w:r>
          </w:p>
        </w:tc>
        <w:tc>
          <w:tcPr>
            <w:tcW w:type="dxa" w:w="2800"/>
            <w:vAlign w:val="center"/>
            <w:tcMar>
              <w:top w:w="80" w:type="dxa"/>
              <w:bottom w:w="80" w:type="dxa"/>
              <w:start w:w="120" w:type="dxa"/>
              <w:end w:w="120" w:type="dxa"/>
            </w:tcMar>
          </w:tcPr>
          <w:p>
            <w:pPr>
              <w:spacing w:after="0" w:line="252" w:lineRule="auto"/>
            </w:pPr>
            <w:r>
              <w:rPr>
                <w:rFonts w:ascii="Calibri" w:hAnsi="Calibri"/>
                <w:b w:val="0"/>
                <w:i w:val="0"/>
                <w:color w:val="0B2545"/>
                <w:sz w:val="16"/>
              </w:rPr>
              <w:t>ROI Gross Profit filtered to Flag = Div</w:t>
            </w:r>
          </w:p>
        </w:tc>
        <w:tc>
          <w:tcPr>
            <w:tcW w:type="dxa" w:w="4860"/>
            <w:vAlign w:val="center"/>
            <w:tcMar>
              <w:top w:w="80" w:type="dxa"/>
              <w:bottom w:w="80" w:type="dxa"/>
              <w:start w:w="120" w:type="dxa"/>
              <w:end w:w="120" w:type="dxa"/>
            </w:tcMar>
          </w:tcPr>
          <w:p>
            <w:pPr>
              <w:spacing w:after="0" w:line="252" w:lineRule="auto"/>
            </w:pPr>
            <w:r>
              <w:rPr>
                <w:rFonts w:ascii="Calibri" w:hAnsi="Calibri"/>
                <w:b w:val="0"/>
                <w:i w:val="0"/>
                <w:color w:val="0B2545"/>
                <w:sz w:val="16"/>
              </w:rPr>
              <w:t>Actual dividend events only.</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6"/>
              </w:rPr>
              <w:t>Day Trades</w:t>
            </w:r>
          </w:p>
        </w:tc>
        <w:tc>
          <w:tcPr>
            <w:tcW w:type="dxa" w:w="2800"/>
            <w:vAlign w:val="center"/>
            <w:tcMar>
              <w:top w:w="80" w:type="dxa"/>
              <w:bottom w:w="80" w:type="dxa"/>
              <w:start w:w="120" w:type="dxa"/>
              <w:end w:w="120" w:type="dxa"/>
            </w:tcMar>
          </w:tcPr>
          <w:p>
            <w:pPr>
              <w:spacing w:after="0" w:line="252" w:lineRule="auto"/>
            </w:pPr>
            <w:r>
              <w:rPr>
                <w:rFonts w:ascii="Calibri" w:hAnsi="Calibri"/>
                <w:b w:val="0"/>
                <w:i w:val="0"/>
                <w:color w:val="0B2545"/>
                <w:sz w:val="16"/>
              </w:rPr>
              <w:t>Total Month − Dividends Paid</w:t>
            </w:r>
          </w:p>
        </w:tc>
        <w:tc>
          <w:tcPr>
            <w:tcW w:type="dxa" w:w="4860"/>
            <w:vAlign w:val="center"/>
            <w:tcMar>
              <w:top w:w="80" w:type="dxa"/>
              <w:bottom w:w="80" w:type="dxa"/>
              <w:start w:w="120" w:type="dxa"/>
              <w:end w:w="120" w:type="dxa"/>
            </w:tcMar>
          </w:tcPr>
          <w:p>
            <w:pPr>
              <w:spacing w:after="0" w:line="252" w:lineRule="auto"/>
            </w:pPr>
            <w:r>
              <w:rPr>
                <w:rFonts w:ascii="Calibri" w:hAnsi="Calibri"/>
                <w:b w:val="0"/>
                <w:i w:val="0"/>
                <w:color w:val="0B2545"/>
                <w:sz w:val="16"/>
              </w:rPr>
              <w:t>Mislabel: currently all non-dividend ROI activity. Rename Other Realized Investment Activity and show its components.</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6"/>
              </w:rPr>
              <w:t>Prior-year returns</w:t>
            </w:r>
          </w:p>
        </w:tc>
        <w:tc>
          <w:tcPr>
            <w:tcW w:type="dxa" w:w="2800"/>
            <w:vAlign w:val="center"/>
            <w:tcMar>
              <w:top w:w="80" w:type="dxa"/>
              <w:bottom w:w="80" w:type="dxa"/>
              <w:start w:w="120" w:type="dxa"/>
              <w:end w:w="120" w:type="dxa"/>
            </w:tcMar>
          </w:tcPr>
          <w:p>
            <w:pPr>
              <w:spacing w:after="0" w:line="252" w:lineRule="auto"/>
            </w:pPr>
            <w:r>
              <w:rPr>
                <w:rFonts w:ascii="Calibri" w:hAnsi="Calibri"/>
                <w:b w:val="0"/>
                <w:i w:val="0"/>
                <w:color w:val="0B2545"/>
                <w:sz w:val="16"/>
              </w:rPr>
              <w:t>Stored/pivoted prior-year monthly ROI totals</w:t>
            </w:r>
          </w:p>
        </w:tc>
        <w:tc>
          <w:tcPr>
            <w:tcW w:type="dxa" w:w="4860"/>
            <w:vAlign w:val="center"/>
            <w:tcMar>
              <w:top w:w="80" w:type="dxa"/>
              <w:bottom w:w="80" w:type="dxa"/>
              <w:start w:w="120" w:type="dxa"/>
              <w:end w:w="120" w:type="dxa"/>
            </w:tcMar>
          </w:tcPr>
          <w:p>
            <w:pPr>
              <w:spacing w:after="0" w:line="252" w:lineRule="auto"/>
            </w:pPr>
            <w:r>
              <w:rPr>
                <w:rFonts w:ascii="Calibri" w:hAnsi="Calibri"/>
                <w:b w:val="0"/>
                <w:i w:val="0"/>
                <w:color w:val="0B2545"/>
                <w:sz w:val="16"/>
              </w:rPr>
              <w:t>Comparable realized result for the same calendar month in the prior year.</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6"/>
              </w:rPr>
              <w:t>YoY</w:t>
            </w:r>
          </w:p>
        </w:tc>
        <w:tc>
          <w:tcPr>
            <w:tcW w:type="dxa" w:w="2800"/>
            <w:vAlign w:val="center"/>
            <w:tcMar>
              <w:top w:w="80" w:type="dxa"/>
              <w:bottom w:w="80" w:type="dxa"/>
              <w:start w:w="120" w:type="dxa"/>
              <w:end w:w="120" w:type="dxa"/>
            </w:tcMar>
          </w:tcPr>
          <w:p>
            <w:pPr>
              <w:spacing w:after="0" w:line="252" w:lineRule="auto"/>
            </w:pPr>
            <w:r>
              <w:rPr>
                <w:rFonts w:ascii="Calibri" w:hAnsi="Calibri"/>
                <w:b w:val="0"/>
                <w:i w:val="0"/>
                <w:color w:val="0B2545"/>
                <w:sz w:val="16"/>
              </w:rPr>
              <w:t>Current Total Month − prior-year month</w:t>
            </w:r>
          </w:p>
        </w:tc>
        <w:tc>
          <w:tcPr>
            <w:tcW w:type="dxa" w:w="4860"/>
            <w:vAlign w:val="center"/>
            <w:tcMar>
              <w:top w:w="80" w:type="dxa"/>
              <w:bottom w:w="80" w:type="dxa"/>
              <w:start w:w="120" w:type="dxa"/>
              <w:end w:w="120" w:type="dxa"/>
            </w:tcMar>
          </w:tcPr>
          <w:p>
            <w:pPr>
              <w:spacing w:after="0" w:line="252" w:lineRule="auto"/>
            </w:pPr>
            <w:r>
              <w:rPr>
                <w:rFonts w:ascii="Calibri" w:hAnsi="Calibri"/>
                <w:b w:val="0"/>
                <w:i w:val="0"/>
                <w:color w:val="0B2545"/>
                <w:sz w:val="16"/>
              </w:rPr>
              <w:t>Dollar change; also provide optional percentage where the prior-year denominator is valid.</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6"/>
              </w:rPr>
              <w:t>Min to Actual</w:t>
            </w:r>
          </w:p>
        </w:tc>
        <w:tc>
          <w:tcPr>
            <w:tcW w:type="dxa" w:w="2800"/>
            <w:vAlign w:val="center"/>
            <w:tcMar>
              <w:top w:w="80" w:type="dxa"/>
              <w:bottom w:w="80" w:type="dxa"/>
              <w:start w:w="120" w:type="dxa"/>
              <w:end w:w="120" w:type="dxa"/>
            </w:tcMar>
          </w:tcPr>
          <w:p>
            <w:pPr>
              <w:spacing w:after="0" w:line="252" w:lineRule="auto"/>
            </w:pPr>
            <w:r>
              <w:rPr>
                <w:rFonts w:ascii="Calibri" w:hAnsi="Calibri"/>
                <w:b w:val="0"/>
                <w:i w:val="0"/>
                <w:color w:val="0B2545"/>
                <w:sz w:val="16"/>
              </w:rPr>
              <w:t>Total Month + negative Monthly Need</w:t>
            </w:r>
          </w:p>
        </w:tc>
        <w:tc>
          <w:tcPr>
            <w:tcW w:type="dxa" w:w="4860"/>
            <w:vAlign w:val="center"/>
            <w:tcMar>
              <w:top w:w="80" w:type="dxa"/>
              <w:bottom w:w="80" w:type="dxa"/>
              <w:start w:w="120" w:type="dxa"/>
              <w:end w:w="120" w:type="dxa"/>
            </w:tcMar>
          </w:tcPr>
          <w:p>
            <w:pPr>
              <w:spacing w:after="0" w:line="252" w:lineRule="auto"/>
            </w:pPr>
            <w:r>
              <w:rPr>
                <w:rFonts w:ascii="Calibri" w:hAnsi="Calibri"/>
                <w:b w:val="0"/>
                <w:i w:val="0"/>
                <w:color w:val="0B2545"/>
                <w:sz w:val="16"/>
              </w:rPr>
              <w:t>Amount above/(below) required household investment income. Target includes living expenses plus taxes minus Social Security.</w:t>
            </w:r>
          </w:p>
        </w:tc>
      </w:tr>
      <w:tr>
        <w:trPr>
          <w:cantSplit/>
        </w:trPr>
        <w:tc>
          <w:tcPr>
            <w:tcW w:type="dxa" w:w="1700"/>
            <w:vAlign w:val="center"/>
            <w:tcMar>
              <w:top w:w="80" w:type="dxa"/>
              <w:bottom w:w="80" w:type="dxa"/>
              <w:start w:w="120" w:type="dxa"/>
              <w:end w:w="120" w:type="dxa"/>
            </w:tcMar>
          </w:tcPr>
          <w:p>
            <w:pPr>
              <w:spacing w:after="0" w:line="252" w:lineRule="auto"/>
            </w:pPr>
            <w:r>
              <w:rPr>
                <w:rFonts w:ascii="Calibri" w:hAnsi="Calibri"/>
                <w:b w:val="0"/>
                <w:i w:val="0"/>
                <w:color w:val="0B2545"/>
                <w:sz w:val="16"/>
              </w:rPr>
              <w:t>Dividend/other mix</w:t>
            </w:r>
          </w:p>
        </w:tc>
        <w:tc>
          <w:tcPr>
            <w:tcW w:type="dxa" w:w="2800"/>
            <w:vAlign w:val="center"/>
            <w:tcMar>
              <w:top w:w="80" w:type="dxa"/>
              <w:bottom w:w="80" w:type="dxa"/>
              <w:start w:w="120" w:type="dxa"/>
              <w:end w:w="120" w:type="dxa"/>
            </w:tcMar>
          </w:tcPr>
          <w:p>
            <w:pPr>
              <w:spacing w:after="0" w:line="252" w:lineRule="auto"/>
            </w:pPr>
            <w:r>
              <w:rPr>
                <w:rFonts w:ascii="Calibri" w:hAnsi="Calibri"/>
                <w:b w:val="0"/>
                <w:i w:val="0"/>
                <w:color w:val="0B2545"/>
                <w:sz w:val="16"/>
              </w:rPr>
              <w:t>Dividend total ÷ combined realized total; remainder is other</w:t>
            </w:r>
          </w:p>
        </w:tc>
        <w:tc>
          <w:tcPr>
            <w:tcW w:type="dxa" w:w="4860"/>
            <w:vAlign w:val="center"/>
            <w:tcMar>
              <w:top w:w="80" w:type="dxa"/>
              <w:bottom w:w="80" w:type="dxa"/>
              <w:start w:w="120" w:type="dxa"/>
              <w:end w:w="120" w:type="dxa"/>
            </w:tcMar>
          </w:tcPr>
          <w:p>
            <w:pPr>
              <w:spacing w:after="0" w:line="252" w:lineRule="auto"/>
            </w:pPr>
            <w:r>
              <w:rPr>
                <w:rFonts w:ascii="Calibri" w:hAnsi="Calibri"/>
                <w:b w:val="0"/>
                <w:i w:val="0"/>
                <w:color w:val="0B2545"/>
                <w:sz w:val="16"/>
              </w:rPr>
              <w:t>Show both mix percentages and component amounts for selected period.</w:t>
            </w:r>
          </w:p>
        </w:tc>
      </w:tr>
    </w:tbl>
    <w:p>
      <w:pPr>
        <w:spacing w:after="20"/>
      </w:pPr>
    </w:p>
    <w:p>
      <w:pPr>
        <w:pStyle w:val="Heading2"/>
      </w:pPr>
      <w:r>
        <w:t>4.1 Approved performance rules</w:t>
      </w:r>
    </w:p>
    <w:p>
      <w:pPr>
        <w:pStyle w:val="ListBullet"/>
      </w:pPr>
      <w:r>
        <w:rPr>
          <w:rFonts w:ascii="Calibri" w:hAnsi="Calibri"/>
          <w:b w:val="0"/>
          <w:i w:val="0"/>
          <w:color w:val="0B2545"/>
          <w:sz w:val="22"/>
        </w:rPr>
        <w:t>Use completed months only for YTD averages; future blank months must not become zeros that dilute performance.</w:t>
      </w:r>
    </w:p>
    <w:p>
      <w:pPr>
        <w:pStyle w:val="ListBullet"/>
      </w:pPr>
      <w:r>
        <w:rPr>
          <w:rFonts w:ascii="Calibri" w:hAnsi="Calibri"/>
          <w:b w:val="0"/>
          <w:i w:val="0"/>
          <w:color w:val="0B2545"/>
          <w:sz w:val="22"/>
        </w:rPr>
        <w:t>Determine current month from the reporting date, never from a fixed worksheet row.</w:t>
      </w:r>
    </w:p>
    <w:p>
      <w:pPr>
        <w:pStyle w:val="ListBullet"/>
      </w:pPr>
      <w:r>
        <w:rPr>
          <w:rFonts w:ascii="Calibri" w:hAnsi="Calibri"/>
          <w:b w:val="0"/>
          <w:i w:val="0"/>
          <w:color w:val="0B2545"/>
          <w:sz w:val="22"/>
        </w:rPr>
        <w:t>Compare like calendar months and identical realized-activity definitions year over year.</w:t>
      </w:r>
    </w:p>
    <w:p>
      <w:pPr>
        <w:pStyle w:val="ListBullet"/>
      </w:pPr>
      <w:r>
        <w:rPr>
          <w:rFonts w:ascii="Calibri" w:hAnsi="Calibri"/>
          <w:b w:val="0"/>
          <w:i w:val="0"/>
          <w:color w:val="0B2545"/>
          <w:sz w:val="22"/>
        </w:rPr>
        <w:t>Break Other Realized Investment Activity into covered calls, cash-secured puts, lot-sale P/L, day-trade P/L and any additional governed activity types.</w:t>
      </w:r>
    </w:p>
    <w:p>
      <w:pPr>
        <w:pStyle w:val="ListBullet"/>
      </w:pPr>
      <w:r>
        <w:rPr>
          <w:rFonts w:ascii="Calibri" w:hAnsi="Calibri"/>
          <w:b w:val="0"/>
          <w:i w:val="0"/>
          <w:color w:val="0B2545"/>
          <w:sz w:val="22"/>
        </w:rPr>
        <w:t>Preserve the plan value that was effective for the measured month; later Calculator changes must not rewrite the comparison.</w:t>
      </w:r>
    </w:p>
    <w:p>
      <w:pPr>
        <w:pStyle w:val="Heading1"/>
      </w:pPr>
      <w:r>
        <w:t>5. Dividend Plan by Account and Month</w:t>
      </w:r>
    </w:p>
    <w:p>
      <w:r>
        <w:rPr>
          <w:rFonts w:ascii="Calibri" w:hAnsi="Calibri"/>
          <w:b w:val="0"/>
          <w:i w:val="0"/>
          <w:color w:val="0B2545"/>
          <w:sz w:val="22"/>
        </w:rPr>
        <w:t>The Dividend Plan panel summarizes the current portfolio plan from Holdings/Calculator by account. It normalizes annual planned income to monthly and weekly values and routes planned income to household, medical or reinvestment uses. The monthly pivot below it spreads the current plan across January through December.</w:t>
      </w:r>
    </w:p>
    <w:tbl>
      <w:tblPr>
        <w:tblStyle w:val="TableGrid"/>
        <w:tblW w:type="dxa" w:w="9360"/>
        <w:jc w:val="left"/>
        <w:tblLayout w:type="fixed"/>
        <w:tblLook w:firstColumn="1" w:firstRow="1" w:lastColumn="0" w:lastRow="0" w:noHBand="0" w:noVBand="1" w:val="04A0"/>
        <w:tblInd w:w="120" w:type="dxa"/>
      </w:tblPr>
      <w:tblGrid>
        <w:gridCol w:w="1900"/>
        <w:gridCol w:w="3350"/>
        <w:gridCol w:w="4110"/>
      </w:tblGrid>
      <w:tr>
        <w:trPr>
          <w:tblHeader w:val="true"/>
          <w:cantSplit/>
        </w:trPr>
        <w:tc>
          <w:tcPr>
            <w:tcW w:type="dxa" w:w="1900"/>
            <w:shd w:fill="F2F4F7"/>
            <w:vAlign w:val="center"/>
            <w:tcMar>
              <w:top w:w="80" w:type="dxa"/>
              <w:bottom w:w="80" w:type="dxa"/>
              <w:start w:w="120" w:type="dxa"/>
              <w:end w:w="120" w:type="dxa"/>
            </w:tcMar>
          </w:tcPr>
          <w:p>
            <w:pPr>
              <w:spacing w:after="0"/>
            </w:pPr>
            <w:r>
              <w:rPr>
                <w:rFonts w:ascii="Calibri" w:hAnsi="Calibri"/>
                <w:b/>
                <w:i w:val="0"/>
                <w:color w:val="0B2545"/>
                <w:sz w:val="16"/>
              </w:rPr>
              <w:t>Field</w:t>
            </w:r>
          </w:p>
        </w:tc>
        <w:tc>
          <w:tcPr>
            <w:tcW w:type="dxa" w:w="3350"/>
            <w:shd w:fill="F2F4F7"/>
            <w:vAlign w:val="center"/>
            <w:tcMar>
              <w:top w:w="80" w:type="dxa"/>
              <w:bottom w:w="80" w:type="dxa"/>
              <w:start w:w="120" w:type="dxa"/>
              <w:end w:w="120" w:type="dxa"/>
            </w:tcMar>
          </w:tcPr>
          <w:p>
            <w:pPr>
              <w:spacing w:after="0"/>
            </w:pPr>
            <w:r>
              <w:rPr>
                <w:rFonts w:ascii="Calibri" w:hAnsi="Calibri"/>
                <w:b/>
                <w:i w:val="0"/>
                <w:color w:val="0B2545"/>
                <w:sz w:val="16"/>
              </w:rPr>
              <w:t>As-is source/calculation</w:t>
            </w:r>
          </w:p>
        </w:tc>
        <w:tc>
          <w:tcPr>
            <w:tcW w:type="dxa" w:w="4110"/>
            <w:shd w:fill="F2F4F7"/>
            <w:vAlign w:val="center"/>
            <w:tcMar>
              <w:top w:w="80" w:type="dxa"/>
              <w:bottom w:w="80" w:type="dxa"/>
              <w:start w:w="120" w:type="dxa"/>
              <w:end w:w="120" w:type="dxa"/>
            </w:tcMar>
          </w:tcPr>
          <w:p>
            <w:pPr>
              <w:spacing w:after="0"/>
            </w:pPr>
            <w:r>
              <w:rPr>
                <w:rFonts w:ascii="Calibri" w:hAnsi="Calibri"/>
                <w:b/>
                <w:i w:val="0"/>
                <w:color w:val="0B2545"/>
                <w:sz w:val="16"/>
              </w:rPr>
              <w:t>Target requirement</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6"/>
              </w:rPr>
              <w:t>Account</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6"/>
              </w:rPr>
              <w:t>Holdings account grouping</w:t>
            </w:r>
          </w:p>
        </w:tc>
        <w:tc>
          <w:tcPr>
            <w:tcW w:type="dxa" w:w="4110"/>
            <w:vAlign w:val="center"/>
            <w:tcMar>
              <w:top w:w="80" w:type="dxa"/>
              <w:bottom w:w="80" w:type="dxa"/>
              <w:start w:w="120" w:type="dxa"/>
              <w:end w:w="120" w:type="dxa"/>
            </w:tcMar>
          </w:tcPr>
          <w:p>
            <w:pPr>
              <w:spacing w:after="0" w:line="252" w:lineRule="auto"/>
            </w:pPr>
            <w:r>
              <w:rPr>
                <w:rFonts w:ascii="Calibri" w:hAnsi="Calibri"/>
                <w:b w:val="0"/>
                <w:i w:val="0"/>
                <w:color w:val="0B2545"/>
                <w:sz w:val="16"/>
              </w:rPr>
              <w:t>Canonical account_id and display name from Accounts.</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6"/>
              </w:rPr>
              <w:t>Annual dividend</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6"/>
              </w:rPr>
              <w:t>SUM planned annual dividend by account</w:t>
            </w:r>
          </w:p>
        </w:tc>
        <w:tc>
          <w:tcPr>
            <w:tcW w:type="dxa" w:w="4110"/>
            <w:vAlign w:val="center"/>
            <w:tcMar>
              <w:top w:w="80" w:type="dxa"/>
              <w:bottom w:w="80" w:type="dxa"/>
              <w:start w:w="120" w:type="dxa"/>
              <w:end w:w="120" w:type="dxa"/>
            </w:tcMar>
          </w:tcPr>
          <w:p>
            <w:pPr>
              <w:spacing w:after="0" w:line="252" w:lineRule="auto"/>
            </w:pPr>
            <w:r>
              <w:rPr>
                <w:rFonts w:ascii="Calibri" w:hAnsi="Calibri"/>
                <w:b w:val="0"/>
                <w:i w:val="0"/>
                <w:color w:val="0B2545"/>
                <w:sz w:val="16"/>
              </w:rPr>
              <w:t>Calculated from active lot/position quantities and approved Calculator plan amounts.</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6"/>
              </w:rPr>
              <w:t>Market value</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6"/>
              </w:rPr>
              <w:t>SUM current holding market value</w:t>
            </w:r>
          </w:p>
        </w:tc>
        <w:tc>
          <w:tcPr>
            <w:tcW w:type="dxa" w:w="4110"/>
            <w:vAlign w:val="center"/>
            <w:tcMar>
              <w:top w:w="80" w:type="dxa"/>
              <w:bottom w:w="80" w:type="dxa"/>
              <w:start w:w="120" w:type="dxa"/>
              <w:end w:w="120" w:type="dxa"/>
            </w:tcMar>
          </w:tcPr>
          <w:p>
            <w:pPr>
              <w:spacing w:after="0" w:line="252" w:lineRule="auto"/>
            </w:pPr>
            <w:r>
              <w:rPr>
                <w:rFonts w:ascii="Calibri" w:hAnsi="Calibri"/>
                <w:b w:val="0"/>
                <w:i w:val="0"/>
                <w:color w:val="0B2545"/>
                <w:sz w:val="16"/>
              </w:rPr>
              <w:t>Point-in-time account/position valuation with as-of timestamp.</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6"/>
              </w:rPr>
              <w:t>Monthly Income</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6"/>
              </w:rPr>
              <w:t>Annual planned dividend ÷ 12 for Income, FI Roth, Car and Account 9</w:t>
            </w:r>
          </w:p>
        </w:tc>
        <w:tc>
          <w:tcPr>
            <w:tcW w:type="dxa" w:w="4110"/>
            <w:vAlign w:val="center"/>
            <w:tcMar>
              <w:top w:w="80" w:type="dxa"/>
              <w:bottom w:w="80" w:type="dxa"/>
              <w:start w:w="120" w:type="dxa"/>
              <w:end w:w="120" w:type="dxa"/>
            </w:tcMar>
          </w:tcPr>
          <w:p>
            <w:pPr>
              <w:spacing w:after="0" w:line="252" w:lineRule="auto"/>
            </w:pPr>
            <w:r>
              <w:rPr>
                <w:rFonts w:ascii="Calibri" w:hAnsi="Calibri"/>
                <w:b w:val="0"/>
                <w:i w:val="0"/>
                <w:color w:val="0B2545"/>
                <w:sz w:val="16"/>
              </w:rPr>
              <w:t>Purpose allocation driven by account policy, not hardcoded row placement.</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6"/>
              </w:rPr>
              <w:t>Monthly Reinvest</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6"/>
              </w:rPr>
              <w:t>Allocated plan bucket</w:t>
            </w:r>
          </w:p>
        </w:tc>
        <w:tc>
          <w:tcPr>
            <w:tcW w:type="dxa" w:w="4110"/>
            <w:vAlign w:val="center"/>
            <w:tcMar>
              <w:top w:w="80" w:type="dxa"/>
              <w:bottom w:w="80" w:type="dxa"/>
              <w:start w:w="120" w:type="dxa"/>
              <w:end w:w="120" w:type="dxa"/>
            </w:tcMar>
          </w:tcPr>
          <w:p>
            <w:pPr>
              <w:spacing w:after="0" w:line="252" w:lineRule="auto"/>
            </w:pPr>
            <w:r>
              <w:rPr>
                <w:rFonts w:ascii="Calibri" w:hAnsi="Calibri"/>
                <w:b w:val="0"/>
                <w:i w:val="0"/>
                <w:color w:val="0B2545"/>
                <w:sz w:val="16"/>
              </w:rPr>
              <w:t>Configurable planned reinvestment goal and funded amount.</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6"/>
              </w:rPr>
              <w:t>Monthly Medical</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6"/>
              </w:rPr>
              <w:t>Health annual planned dividend ÷ 12</w:t>
            </w:r>
          </w:p>
        </w:tc>
        <w:tc>
          <w:tcPr>
            <w:tcW w:type="dxa" w:w="4110"/>
            <w:vAlign w:val="center"/>
            <w:tcMar>
              <w:top w:w="80" w:type="dxa"/>
              <w:bottom w:w="80" w:type="dxa"/>
              <w:start w:w="120" w:type="dxa"/>
              <w:end w:w="120" w:type="dxa"/>
            </w:tcMar>
          </w:tcPr>
          <w:p>
            <w:pPr>
              <w:spacing w:after="0" w:line="252" w:lineRule="auto"/>
            </w:pPr>
            <w:r>
              <w:rPr>
                <w:rFonts w:ascii="Calibri" w:hAnsi="Calibri"/>
                <w:b w:val="0"/>
                <w:i w:val="0"/>
                <w:color w:val="0B2545"/>
                <w:sz w:val="16"/>
              </w:rPr>
              <w:t>Medical funding produced by the HSA/Health portfolio.</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6"/>
              </w:rPr>
              <w:t>Weekly</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6"/>
              </w:rPr>
              <w:t>Annual planned dividend ÷ 52</w:t>
            </w:r>
          </w:p>
        </w:tc>
        <w:tc>
          <w:tcPr>
            <w:tcW w:type="dxa" w:w="4110"/>
            <w:vAlign w:val="center"/>
            <w:tcMar>
              <w:top w:w="80" w:type="dxa"/>
              <w:bottom w:w="80" w:type="dxa"/>
              <w:start w:w="120" w:type="dxa"/>
              <w:end w:w="120" w:type="dxa"/>
            </w:tcMar>
          </w:tcPr>
          <w:p>
            <w:pPr>
              <w:spacing w:after="0" w:line="252" w:lineRule="auto"/>
            </w:pPr>
            <w:r>
              <w:rPr>
                <w:rFonts w:ascii="Calibri" w:hAnsi="Calibri"/>
                <w:b w:val="0"/>
                <w:i w:val="0"/>
                <w:color w:val="0B2545"/>
                <w:sz w:val="16"/>
              </w:rPr>
              <w:t>Normalized weekly equivalent by account and total.</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6"/>
              </w:rPr>
              <w:t>Monthly plan pivot</w:t>
            </w:r>
          </w:p>
        </w:tc>
        <w:tc>
          <w:tcPr>
            <w:tcW w:type="dxa" w:w="3350"/>
            <w:vAlign w:val="center"/>
            <w:tcMar>
              <w:top w:w="80" w:type="dxa"/>
              <w:bottom w:w="80" w:type="dxa"/>
              <w:start w:w="120" w:type="dxa"/>
              <w:end w:w="120" w:type="dxa"/>
            </w:tcMar>
          </w:tcPr>
          <w:p>
            <w:pPr>
              <w:spacing w:after="0" w:line="252" w:lineRule="auto"/>
            </w:pPr>
            <w:r>
              <w:rPr>
                <w:rFonts w:ascii="Calibri" w:hAnsi="Calibri"/>
                <w:b w:val="0"/>
                <w:i w:val="0"/>
                <w:color w:val="0B2545"/>
                <w:sz w:val="16"/>
              </w:rPr>
              <w:t>Account-by-month normalized plan</w:t>
            </w:r>
          </w:p>
        </w:tc>
        <w:tc>
          <w:tcPr>
            <w:tcW w:type="dxa" w:w="4110"/>
            <w:vAlign w:val="center"/>
            <w:tcMar>
              <w:top w:w="80" w:type="dxa"/>
              <w:bottom w:w="80" w:type="dxa"/>
              <w:start w:w="120" w:type="dxa"/>
              <w:end w:w="120" w:type="dxa"/>
            </w:tcMar>
          </w:tcPr>
          <w:p>
            <w:pPr>
              <w:spacing w:after="0" w:line="252" w:lineRule="auto"/>
            </w:pPr>
            <w:r>
              <w:rPr>
                <w:rFonts w:ascii="Calibri" w:hAnsi="Calibri"/>
                <w:b w:val="0"/>
                <w:i w:val="0"/>
                <w:color w:val="0B2545"/>
                <w:sz w:val="16"/>
              </w:rPr>
              <w:t>Calculated from preserved plan schedules and periodicity; current and historical versions remain available.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20" w:type="dxa"/>
              <w:bottom w:w="120" w:type="dxa"/>
              <w:start w:w="120" w:type="dxa"/>
              <w:end w:w="120" w:type="dxa"/>
            </w:tcMar>
            <w:shd w:fill="FFF2CC"/>
          </w:tcPr>
          <w:p>
            <w:pPr>
              <w:spacing w:after="0"/>
            </w:pPr>
            <w:r>
              <w:rPr>
                <w:rFonts w:ascii="Calibri" w:hAnsi="Calibri"/>
                <w:b/>
                <w:i w:val="0"/>
                <w:color w:val="1F4D78"/>
                <w:sz w:val="22"/>
              </w:rPr>
              <w:t xml:space="preserve">Historical rule: </w:t>
            </w:r>
            <w:r>
              <w:rPr>
                <w:rFonts w:ascii="Calibri" w:hAnsi="Calibri"/>
                <w:b w:val="0"/>
                <w:i w:val="0"/>
                <w:color w:val="1F4D78"/>
                <w:sz w:val="22"/>
              </w:rPr>
              <w:t>The target stores immutable plan snapshots. The present workbook keeps only the current plan and relies on Trends for limited history; the application must support direct as-planned versus actual reporting for every period.</w:t>
            </w:r>
          </w:p>
        </w:tc>
      </w:tr>
    </w:tbl>
    <w:p>
      <w:pPr>
        <w:spacing w:after="20"/>
      </w:pPr>
    </w:p>
    <w:p>
      <w:pPr>
        <w:pStyle w:val="Heading1"/>
      </w:pPr>
      <w:r>
        <w:t>6. Household Income Sufficiency</w:t>
      </w:r>
    </w:p>
    <w:p>
      <w:r>
        <w:rPr>
          <w:rFonts w:ascii="Calibri" w:hAnsi="Calibri"/>
          <w:b w:val="0"/>
          <w:i w:val="0"/>
          <w:color w:val="0B2545"/>
          <w:sz w:val="22"/>
        </w:rPr>
        <w:t>The right-hand weekly/monthly/year block tests whether planned retirement and investment income covers household obligations. It annualizes or de-annualizes Social Security and account income, subtracts living expenses and taxes, and displays the remaining surplus or shortfall.</w:t>
      </w:r>
    </w:p>
    <w:tbl>
      <w:tblPr>
        <w:tblStyle w:val="TableGrid"/>
        <w:tblW w:type="dxa" w:w="9360"/>
        <w:jc w:val="left"/>
        <w:tblLayout w:type="fixed"/>
        <w:tblLook w:firstColumn="1" w:firstRow="1" w:lastColumn="0" w:lastRow="0" w:noHBand="0" w:noVBand="1" w:val="04A0"/>
        <w:tblInd w:w="120" w:type="dxa"/>
      </w:tblPr>
      <w:tblGrid>
        <w:gridCol w:w="1900"/>
        <w:gridCol w:w="3100"/>
        <w:gridCol w:w="4360"/>
      </w:tblGrid>
      <w:tr>
        <w:trPr>
          <w:tblHeader w:val="true"/>
          <w:cantSplit/>
        </w:trPr>
        <w:tc>
          <w:tcPr>
            <w:tcW w:type="dxa" w:w="1900"/>
            <w:shd w:fill="F2F4F7"/>
            <w:vAlign w:val="center"/>
            <w:tcMar>
              <w:top w:w="80" w:type="dxa"/>
              <w:bottom w:w="80" w:type="dxa"/>
              <w:start w:w="120" w:type="dxa"/>
              <w:end w:w="120" w:type="dxa"/>
            </w:tcMar>
          </w:tcPr>
          <w:p>
            <w:pPr>
              <w:spacing w:after="0"/>
            </w:pPr>
            <w:r>
              <w:rPr>
                <w:rFonts w:ascii="Calibri" w:hAnsi="Calibri"/>
                <w:b/>
                <w:i w:val="0"/>
                <w:color w:val="0B2545"/>
                <w:sz w:val="16"/>
              </w:rPr>
              <w:t>Element</w:t>
            </w:r>
          </w:p>
        </w:tc>
        <w:tc>
          <w:tcPr>
            <w:tcW w:type="dxa" w:w="3100"/>
            <w:shd w:fill="F2F4F7"/>
            <w:vAlign w:val="center"/>
            <w:tcMar>
              <w:top w:w="80" w:type="dxa"/>
              <w:bottom w:w="80" w:type="dxa"/>
              <w:start w:w="120" w:type="dxa"/>
              <w:end w:w="120" w:type="dxa"/>
            </w:tcMar>
          </w:tcPr>
          <w:p>
            <w:pPr>
              <w:spacing w:after="0"/>
            </w:pPr>
            <w:r>
              <w:rPr>
                <w:rFonts w:ascii="Calibri" w:hAnsi="Calibri"/>
                <w:b/>
                <w:i w:val="0"/>
                <w:color w:val="0B2545"/>
                <w:sz w:val="16"/>
              </w:rPr>
              <w:t>Current intent</w:t>
            </w:r>
          </w:p>
        </w:tc>
        <w:tc>
          <w:tcPr>
            <w:tcW w:type="dxa" w:w="4360"/>
            <w:shd w:fill="F2F4F7"/>
            <w:vAlign w:val="center"/>
            <w:tcMar>
              <w:top w:w="80" w:type="dxa"/>
              <w:bottom w:w="80" w:type="dxa"/>
              <w:start w:w="120" w:type="dxa"/>
              <w:end w:w="120" w:type="dxa"/>
            </w:tcMar>
          </w:tcPr>
          <w:p>
            <w:pPr>
              <w:spacing w:after="0"/>
            </w:pPr>
            <w:r>
              <w:rPr>
                <w:rFonts w:ascii="Calibri" w:hAnsi="Calibri"/>
                <w:b/>
                <w:i w:val="0"/>
                <w:color w:val="0B2545"/>
                <w:sz w:val="16"/>
              </w:rPr>
              <w:t>Approved target definition</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6"/>
              </w:rPr>
              <w:t>Social Security</w:t>
            </w:r>
          </w:p>
        </w:tc>
        <w:tc>
          <w:tcPr>
            <w:tcW w:type="dxa" w:w="3100"/>
            <w:vAlign w:val="center"/>
            <w:tcMar>
              <w:top w:w="80" w:type="dxa"/>
              <w:bottom w:w="80" w:type="dxa"/>
              <w:start w:w="120" w:type="dxa"/>
              <w:end w:w="120" w:type="dxa"/>
            </w:tcMar>
          </w:tcPr>
          <w:p>
            <w:pPr>
              <w:spacing w:after="0" w:line="252" w:lineRule="auto"/>
            </w:pPr>
            <w:r>
              <w:rPr>
                <w:rFonts w:ascii="Calibri" w:hAnsi="Calibri"/>
                <w:b w:val="0"/>
                <w:i w:val="0"/>
                <w:color w:val="0B2545"/>
                <w:sz w:val="16"/>
              </w:rPr>
              <w:t>Weekly/monthly/year retirement benefit</w:t>
            </w:r>
          </w:p>
        </w:tc>
        <w:tc>
          <w:tcPr>
            <w:tcW w:type="dxa" w:w="4360"/>
            <w:vAlign w:val="center"/>
            <w:tcMar>
              <w:top w:w="80" w:type="dxa"/>
              <w:bottom w:w="80" w:type="dxa"/>
              <w:start w:w="120" w:type="dxa"/>
              <w:end w:w="120" w:type="dxa"/>
            </w:tcMar>
          </w:tcPr>
          <w:p>
            <w:pPr>
              <w:spacing w:after="0" w:line="252" w:lineRule="auto"/>
            </w:pPr>
            <w:r>
              <w:rPr>
                <w:rFonts w:ascii="Calibri" w:hAnsi="Calibri"/>
                <w:b w:val="0"/>
                <w:i w:val="0"/>
                <w:color w:val="0B2545"/>
                <w:sz w:val="16"/>
              </w:rPr>
              <w:t>Tom and Barb SSA retirement benefits from the non-ROI ledger/projection, using gross or net consistently for the selected view.</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6"/>
              </w:rPr>
              <w:t>Car Account</w:t>
            </w:r>
          </w:p>
        </w:tc>
        <w:tc>
          <w:tcPr>
            <w:tcW w:type="dxa" w:w="3100"/>
            <w:vAlign w:val="center"/>
            <w:tcMar>
              <w:top w:w="80" w:type="dxa"/>
              <w:bottom w:w="80" w:type="dxa"/>
              <w:start w:w="120" w:type="dxa"/>
              <w:end w:w="120" w:type="dxa"/>
            </w:tcMar>
          </w:tcPr>
          <w:p>
            <w:pPr>
              <w:spacing w:after="0" w:line="252" w:lineRule="auto"/>
            </w:pPr>
            <w:r>
              <w:rPr>
                <w:rFonts w:ascii="Calibri" w:hAnsi="Calibri"/>
                <w:b w:val="0"/>
                <w:i w:val="0"/>
                <w:color w:val="0B2545"/>
                <w:sz w:val="16"/>
              </w:rPr>
              <w:t>Planned dividend income</w:t>
            </w:r>
          </w:p>
        </w:tc>
        <w:tc>
          <w:tcPr>
            <w:tcW w:type="dxa" w:w="4360"/>
            <w:vAlign w:val="center"/>
            <w:tcMar>
              <w:top w:w="80" w:type="dxa"/>
              <w:bottom w:w="80" w:type="dxa"/>
              <w:start w:w="120" w:type="dxa"/>
              <w:end w:w="120" w:type="dxa"/>
            </w:tcMar>
          </w:tcPr>
          <w:p>
            <w:pPr>
              <w:spacing w:after="0" w:line="252" w:lineRule="auto"/>
            </w:pPr>
            <w:r>
              <w:rPr>
                <w:rFonts w:ascii="Calibri" w:hAnsi="Calibri"/>
                <w:b w:val="0"/>
                <w:i w:val="0"/>
                <w:color w:val="0B2545"/>
                <w:sz w:val="16"/>
              </w:rPr>
              <w:t>Planned Car-account investment income; not a cash withdrawal.</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6"/>
              </w:rPr>
              <w:t>Account 9</w:t>
            </w:r>
          </w:p>
        </w:tc>
        <w:tc>
          <w:tcPr>
            <w:tcW w:type="dxa" w:w="3100"/>
            <w:vAlign w:val="center"/>
            <w:tcMar>
              <w:top w:w="80" w:type="dxa"/>
              <w:bottom w:w="80" w:type="dxa"/>
              <w:start w:w="120" w:type="dxa"/>
              <w:end w:w="120" w:type="dxa"/>
            </w:tcMar>
          </w:tcPr>
          <w:p>
            <w:pPr>
              <w:spacing w:after="0" w:line="252" w:lineRule="auto"/>
            </w:pPr>
            <w:r>
              <w:rPr>
                <w:rFonts w:ascii="Calibri" w:hAnsi="Calibri"/>
                <w:b w:val="0"/>
                <w:i w:val="0"/>
                <w:color w:val="0B2545"/>
                <w:sz w:val="16"/>
              </w:rPr>
              <w:t>Planned dividend income</w:t>
            </w:r>
          </w:p>
        </w:tc>
        <w:tc>
          <w:tcPr>
            <w:tcW w:type="dxa" w:w="4360"/>
            <w:vAlign w:val="center"/>
            <w:tcMar>
              <w:top w:w="80" w:type="dxa"/>
              <w:bottom w:w="80" w:type="dxa"/>
              <w:start w:w="120" w:type="dxa"/>
              <w:end w:w="120" w:type="dxa"/>
            </w:tcMar>
          </w:tcPr>
          <w:p>
            <w:pPr>
              <w:spacing w:after="0" w:line="252" w:lineRule="auto"/>
            </w:pPr>
            <w:r>
              <w:rPr>
                <w:rFonts w:ascii="Calibri" w:hAnsi="Calibri"/>
                <w:b w:val="0"/>
                <w:i w:val="0"/>
                <w:color w:val="0B2545"/>
                <w:sz w:val="16"/>
              </w:rPr>
              <w:t>Planned Account 9 investment income.</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6"/>
              </w:rPr>
              <w:t>Income</w:t>
            </w:r>
          </w:p>
        </w:tc>
        <w:tc>
          <w:tcPr>
            <w:tcW w:type="dxa" w:w="3100"/>
            <w:vAlign w:val="center"/>
            <w:tcMar>
              <w:top w:w="80" w:type="dxa"/>
              <w:bottom w:w="80" w:type="dxa"/>
              <w:start w:w="120" w:type="dxa"/>
              <w:end w:w="120" w:type="dxa"/>
            </w:tcMar>
          </w:tcPr>
          <w:p>
            <w:pPr>
              <w:spacing w:after="0" w:line="252" w:lineRule="auto"/>
            </w:pPr>
            <w:r>
              <w:rPr>
                <w:rFonts w:ascii="Calibri" w:hAnsi="Calibri"/>
                <w:b w:val="0"/>
                <w:i w:val="0"/>
                <w:color w:val="0B2545"/>
                <w:sz w:val="16"/>
              </w:rPr>
              <w:t>Planned dividend income</w:t>
            </w:r>
          </w:p>
        </w:tc>
        <w:tc>
          <w:tcPr>
            <w:tcW w:type="dxa" w:w="4360"/>
            <w:vAlign w:val="center"/>
            <w:tcMar>
              <w:top w:w="80" w:type="dxa"/>
              <w:bottom w:w="80" w:type="dxa"/>
              <w:start w:w="120" w:type="dxa"/>
              <w:end w:w="120" w:type="dxa"/>
            </w:tcMar>
          </w:tcPr>
          <w:p>
            <w:pPr>
              <w:spacing w:after="0" w:line="252" w:lineRule="auto"/>
            </w:pPr>
            <w:r>
              <w:rPr>
                <w:rFonts w:ascii="Calibri" w:hAnsi="Calibri"/>
                <w:b w:val="0"/>
                <w:i w:val="0"/>
                <w:color w:val="0B2545"/>
                <w:sz w:val="16"/>
              </w:rPr>
              <w:t>Planned Income-account investment income.</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6"/>
              </w:rPr>
              <w:t>Total Income</w:t>
            </w:r>
          </w:p>
        </w:tc>
        <w:tc>
          <w:tcPr>
            <w:tcW w:type="dxa" w:w="3100"/>
            <w:vAlign w:val="center"/>
            <w:tcMar>
              <w:top w:w="80" w:type="dxa"/>
              <w:bottom w:w="80" w:type="dxa"/>
              <w:start w:w="120" w:type="dxa"/>
              <w:end w:w="120" w:type="dxa"/>
            </w:tcMar>
          </w:tcPr>
          <w:p>
            <w:pPr>
              <w:spacing w:after="0" w:line="252" w:lineRule="auto"/>
            </w:pPr>
            <w:r>
              <w:rPr>
                <w:rFonts w:ascii="Calibri" w:hAnsi="Calibri"/>
                <w:b w:val="0"/>
                <w:i w:val="0"/>
                <w:color w:val="0B2545"/>
                <w:sz w:val="16"/>
              </w:rPr>
              <w:t>Sum SSA plus included account income</w:t>
            </w:r>
          </w:p>
        </w:tc>
        <w:tc>
          <w:tcPr>
            <w:tcW w:type="dxa" w:w="4360"/>
            <w:vAlign w:val="center"/>
            <w:tcMar>
              <w:top w:w="80" w:type="dxa"/>
              <w:bottom w:w="80" w:type="dxa"/>
              <w:start w:w="120" w:type="dxa"/>
              <w:end w:w="120" w:type="dxa"/>
            </w:tcMar>
          </w:tcPr>
          <w:p>
            <w:pPr>
              <w:spacing w:after="0" w:line="252" w:lineRule="auto"/>
            </w:pPr>
            <w:r>
              <w:rPr>
                <w:rFonts w:ascii="Calibri" w:hAnsi="Calibri"/>
                <w:b w:val="0"/>
                <w:i w:val="0"/>
                <w:color w:val="0B2545"/>
                <w:sz w:val="16"/>
              </w:rPr>
              <w:t>Explicit gross-income and net-cash views; no hidden double counting.</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6"/>
              </w:rPr>
              <w:t>Living Expenses</w:t>
            </w:r>
          </w:p>
        </w:tc>
        <w:tc>
          <w:tcPr>
            <w:tcW w:type="dxa" w:w="3100"/>
            <w:vAlign w:val="center"/>
            <w:tcMar>
              <w:top w:w="80" w:type="dxa"/>
              <w:bottom w:w="80" w:type="dxa"/>
              <w:start w:w="120" w:type="dxa"/>
              <w:end w:w="120" w:type="dxa"/>
            </w:tcMar>
          </w:tcPr>
          <w:p>
            <w:pPr>
              <w:spacing w:after="0" w:line="252" w:lineRule="auto"/>
            </w:pPr>
            <w:r>
              <w:rPr>
                <w:rFonts w:ascii="Calibri" w:hAnsi="Calibri"/>
                <w:b w:val="0"/>
                <w:i w:val="0"/>
                <w:color w:val="0B2545"/>
                <w:sz w:val="16"/>
              </w:rPr>
              <w:t>Household expense requirement</w:t>
            </w:r>
          </w:p>
        </w:tc>
        <w:tc>
          <w:tcPr>
            <w:tcW w:type="dxa" w:w="4360"/>
            <w:vAlign w:val="center"/>
            <w:tcMar>
              <w:top w:w="80" w:type="dxa"/>
              <w:bottom w:w="80" w:type="dxa"/>
              <w:start w:w="120" w:type="dxa"/>
              <w:end w:w="120" w:type="dxa"/>
            </w:tcMar>
          </w:tcPr>
          <w:p>
            <w:pPr>
              <w:spacing w:after="0" w:line="252" w:lineRule="auto"/>
            </w:pPr>
            <w:r>
              <w:rPr>
                <w:rFonts w:ascii="Calibri" w:hAnsi="Calibri"/>
                <w:b w:val="0"/>
                <w:i w:val="0"/>
                <w:color w:val="0B2545"/>
                <w:sz w:val="16"/>
              </w:rPr>
              <w:t>Owner-maintained, effective-dated monthly budget assumption.</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6"/>
              </w:rPr>
              <w:t>Taxes</w:t>
            </w:r>
          </w:p>
        </w:tc>
        <w:tc>
          <w:tcPr>
            <w:tcW w:type="dxa" w:w="3100"/>
            <w:vAlign w:val="center"/>
            <w:tcMar>
              <w:top w:w="80" w:type="dxa"/>
              <w:bottom w:w="80" w:type="dxa"/>
              <w:start w:w="120" w:type="dxa"/>
              <w:end w:w="120" w:type="dxa"/>
            </w:tcMar>
          </w:tcPr>
          <w:p>
            <w:pPr>
              <w:spacing w:after="0" w:line="252" w:lineRule="auto"/>
            </w:pPr>
            <w:r>
              <w:rPr>
                <w:rFonts w:ascii="Calibri" w:hAnsi="Calibri"/>
                <w:b w:val="0"/>
                <w:i w:val="0"/>
                <w:color w:val="0B2545"/>
                <w:sz w:val="16"/>
              </w:rPr>
              <w:t>Tax funding requirement</w:t>
            </w:r>
          </w:p>
        </w:tc>
        <w:tc>
          <w:tcPr>
            <w:tcW w:type="dxa" w:w="4360"/>
            <w:vAlign w:val="center"/>
            <w:tcMar>
              <w:top w:w="80" w:type="dxa"/>
              <w:bottom w:w="80" w:type="dxa"/>
              <w:start w:w="120" w:type="dxa"/>
              <w:end w:w="120" w:type="dxa"/>
            </w:tcMar>
          </w:tcPr>
          <w:p>
            <w:pPr>
              <w:spacing w:after="0" w:line="252" w:lineRule="auto"/>
            </w:pPr>
            <w:r>
              <w:rPr>
                <w:rFonts w:ascii="Calibri" w:hAnsi="Calibri"/>
                <w:b w:val="0"/>
                <w:i w:val="0"/>
                <w:color w:val="0B2545"/>
                <w:sz w:val="16"/>
              </w:rPr>
              <w:t>Owner-entered projected federal/state tax liability converted to the selected period.</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6"/>
              </w:rPr>
              <w:t>Net</w:t>
            </w:r>
          </w:p>
        </w:tc>
        <w:tc>
          <w:tcPr>
            <w:tcW w:type="dxa" w:w="3100"/>
            <w:vAlign w:val="center"/>
            <w:tcMar>
              <w:top w:w="80" w:type="dxa"/>
              <w:bottom w:w="80" w:type="dxa"/>
              <w:start w:w="120" w:type="dxa"/>
              <w:end w:w="120" w:type="dxa"/>
            </w:tcMar>
          </w:tcPr>
          <w:p>
            <w:pPr>
              <w:spacing w:after="0" w:line="252" w:lineRule="auto"/>
            </w:pPr>
            <w:r>
              <w:rPr>
                <w:rFonts w:ascii="Calibri" w:hAnsi="Calibri"/>
                <w:b w:val="0"/>
                <w:i w:val="0"/>
                <w:color w:val="0B2545"/>
                <w:sz w:val="16"/>
              </w:rPr>
              <w:t>Income less expenses and taxes</w:t>
            </w:r>
          </w:p>
        </w:tc>
        <w:tc>
          <w:tcPr>
            <w:tcW w:type="dxa" w:w="4360"/>
            <w:vAlign w:val="center"/>
            <w:tcMar>
              <w:top w:w="80" w:type="dxa"/>
              <w:bottom w:w="80" w:type="dxa"/>
              <w:start w:w="120" w:type="dxa"/>
              <w:end w:w="120" w:type="dxa"/>
            </w:tcMar>
          </w:tcPr>
          <w:p>
            <w:pPr>
              <w:spacing w:after="0" w:line="252" w:lineRule="auto"/>
            </w:pPr>
            <w:r>
              <w:rPr>
                <w:rFonts w:ascii="Calibri" w:hAnsi="Calibri"/>
                <w:b w:val="0"/>
                <w:i w:val="0"/>
                <w:color w:val="0B2545"/>
                <w:sz w:val="16"/>
              </w:rPr>
              <w:t>Household surplus/(shortfall), with components visible.</w:t>
            </w:r>
          </w:p>
        </w:tc>
      </w:tr>
      <w:tr>
        <w:trPr>
          <w:cantSplit/>
        </w:trPr>
        <w:tc>
          <w:tcPr>
            <w:tcW w:type="dxa" w:w="1900"/>
            <w:vAlign w:val="center"/>
            <w:tcMar>
              <w:top w:w="80" w:type="dxa"/>
              <w:bottom w:w="80" w:type="dxa"/>
              <w:start w:w="120" w:type="dxa"/>
              <w:end w:w="120" w:type="dxa"/>
            </w:tcMar>
          </w:tcPr>
          <w:p>
            <w:pPr>
              <w:spacing w:after="0" w:line="252" w:lineRule="auto"/>
            </w:pPr>
            <w:r>
              <w:rPr>
                <w:rFonts w:ascii="Calibri" w:hAnsi="Calibri"/>
                <w:b w:val="0"/>
                <w:i w:val="0"/>
                <w:color w:val="0B2545"/>
                <w:sz w:val="16"/>
              </w:rPr>
              <w:t>Required investment income</w:t>
            </w:r>
          </w:p>
        </w:tc>
        <w:tc>
          <w:tcPr>
            <w:tcW w:type="dxa" w:w="3100"/>
            <w:vAlign w:val="center"/>
            <w:tcMar>
              <w:top w:w="80" w:type="dxa"/>
              <w:bottom w:w="80" w:type="dxa"/>
              <w:start w:w="120" w:type="dxa"/>
              <w:end w:w="120" w:type="dxa"/>
            </w:tcMar>
          </w:tcPr>
          <w:p>
            <w:pPr>
              <w:spacing w:after="0" w:line="252" w:lineRule="auto"/>
            </w:pPr>
            <w:r>
              <w:rPr>
                <w:rFonts w:ascii="Calibri" w:hAnsi="Calibri"/>
                <w:b w:val="0"/>
                <w:i w:val="0"/>
                <w:color w:val="0B2545"/>
                <w:sz w:val="16"/>
              </w:rPr>
              <w:t>Legacy Monthly Need</w:t>
            </w:r>
          </w:p>
        </w:tc>
        <w:tc>
          <w:tcPr>
            <w:tcW w:type="dxa" w:w="4360"/>
            <w:vAlign w:val="center"/>
            <w:tcMar>
              <w:top w:w="80" w:type="dxa"/>
              <w:bottom w:w="80" w:type="dxa"/>
              <w:start w:w="120" w:type="dxa"/>
              <w:end w:w="120" w:type="dxa"/>
            </w:tcMar>
          </w:tcPr>
          <w:p>
            <w:pPr>
              <w:spacing w:after="0" w:line="252" w:lineRule="auto"/>
            </w:pPr>
            <w:r>
              <w:rPr>
                <w:rFonts w:ascii="Calibri" w:hAnsi="Calibri"/>
                <w:b w:val="0"/>
                <w:i w:val="0"/>
                <w:color w:val="0B2545"/>
                <w:sz w:val="16"/>
              </w:rPr>
              <w:t>Living expenses + taxes − Social Security. Medical funding and reinvestment remain separate strategic goals.</w:t>
            </w:r>
          </w:p>
        </w:tc>
      </w:tr>
    </w:tbl>
    <w:p>
      <w:pPr>
        <w:spacing w:after="20"/>
      </w:pPr>
    </w:p>
    <w:p>
      <w:pPr>
        <w:pStyle w:val="Heading2"/>
      </w:pPr>
      <w:r>
        <w:t>6.1 Gap conversions</w:t>
      </w:r>
    </w:p>
    <w:p>
      <w:pPr>
        <w:pStyle w:val="ListBullet"/>
      </w:pPr>
      <w:r>
        <w:rPr>
          <w:rFonts w:ascii="Calibri" w:hAnsi="Calibri"/>
          <w:b w:val="0"/>
          <w:i w:val="0"/>
          <w:color w:val="0B2545"/>
          <w:sz w:val="22"/>
        </w:rPr>
        <w:t>Monthly gap = funded amount − target amount; display positive surplus and negative shortfall with plain-language status.</w:t>
      </w:r>
    </w:p>
    <w:p>
      <w:pPr>
        <w:pStyle w:val="ListBullet"/>
      </w:pPr>
      <w:r>
        <w:rPr>
          <w:rFonts w:ascii="Calibri" w:hAnsi="Calibri"/>
          <w:b w:val="0"/>
          <w:i w:val="0"/>
          <w:color w:val="0B2545"/>
          <w:sz w:val="22"/>
        </w:rPr>
        <w:t>Weekly equivalent = monthly gap × 12 ÷ 52.</w:t>
      </w:r>
    </w:p>
    <w:p>
      <w:pPr>
        <w:pStyle w:val="ListBullet"/>
      </w:pPr>
      <w:r>
        <w:rPr>
          <w:rFonts w:ascii="Calibri" w:hAnsi="Calibri"/>
          <w:b w:val="0"/>
          <w:i w:val="0"/>
          <w:color w:val="0B2545"/>
          <w:sz w:val="22"/>
        </w:rPr>
        <w:t>Daily equivalent = weekly gap ÷ five business days only when the user requests a trading-day planning view.</w:t>
      </w:r>
    </w:p>
    <w:p>
      <w:pPr>
        <w:pStyle w:val="ListBullet"/>
      </w:pPr>
      <w:r>
        <w:rPr>
          <w:rFonts w:ascii="Calibri" w:hAnsi="Calibri"/>
          <w:b w:val="0"/>
          <w:i w:val="0"/>
          <w:color w:val="0B2545"/>
          <w:sz w:val="22"/>
        </w:rPr>
        <w:t>Do not imply that day trading is required. Present the amount as an uncovered income requirement or available surplus.</w:t>
      </w:r>
    </w:p>
    <w:p>
      <w:pPr>
        <w:pStyle w:val="Heading1"/>
      </w:pPr>
      <w:r>
        <w:t>7. Account Burndown Architecture</w:t>
      </w:r>
    </w:p>
    <w:p>
      <w:r>
        <w:rPr>
          <w:rFonts w:ascii="Calibri" w:hAnsi="Calibri"/>
          <w:b w:val="0"/>
          <w:i w:val="0"/>
          <w:color w:val="0B2545"/>
          <w:sz w:val="22"/>
        </w:rPr>
        <w:t>The current Income, Car and Health panels combine a rolling balance forecast with actual weekly cash balances. Yellow columns are plan; green columns are completed actuals. The highlighted Saturday column remains Plan until weekly close, then becomes Actual. This lifecycle is approved for the target.</w:t>
      </w:r>
    </w:p>
    <w:tbl>
      <w:tblPr>
        <w:tblStyle w:val="TableGrid"/>
        <w:tblW w:type="dxa" w:w="9360"/>
        <w:jc w:val="left"/>
        <w:tblLayout w:type="fixed"/>
        <w:tblLook w:firstColumn="1" w:firstRow="1" w:lastColumn="0" w:lastRow="0" w:noHBand="0" w:noVBand="1" w:val="04A0"/>
        <w:tblInd w:w="120" w:type="dxa"/>
      </w:tblPr>
      <w:tblGrid>
        <w:gridCol w:w="1800"/>
        <w:gridCol w:w="3100"/>
        <w:gridCol w:w="4460"/>
      </w:tblGrid>
      <w:tr>
        <w:trPr>
          <w:tblHeader w:val="true"/>
          <w:cantSplit/>
        </w:trPr>
        <w:tc>
          <w:tcPr>
            <w:tcW w:type="dxa" w:w="1800"/>
            <w:shd w:fill="F2F4F7"/>
            <w:vAlign w:val="center"/>
            <w:tcMar>
              <w:top w:w="80" w:type="dxa"/>
              <w:bottom w:w="80" w:type="dxa"/>
              <w:start w:w="120" w:type="dxa"/>
              <w:end w:w="120" w:type="dxa"/>
            </w:tcMar>
          </w:tcPr>
          <w:p>
            <w:pPr>
              <w:spacing w:after="0"/>
            </w:pPr>
            <w:r>
              <w:rPr>
                <w:rFonts w:ascii="Calibri" w:hAnsi="Calibri"/>
                <w:b/>
                <w:i w:val="0"/>
                <w:color w:val="0B2545"/>
                <w:sz w:val="16"/>
              </w:rPr>
              <w:t>Legacy row</w:t>
            </w:r>
          </w:p>
        </w:tc>
        <w:tc>
          <w:tcPr>
            <w:tcW w:type="dxa" w:w="3100"/>
            <w:shd w:fill="F2F4F7"/>
            <w:vAlign w:val="center"/>
            <w:tcMar>
              <w:top w:w="80" w:type="dxa"/>
              <w:bottom w:w="80" w:type="dxa"/>
              <w:start w:w="120" w:type="dxa"/>
              <w:end w:w="120" w:type="dxa"/>
            </w:tcMar>
          </w:tcPr>
          <w:p>
            <w:pPr>
              <w:spacing w:after="0"/>
            </w:pPr>
            <w:r>
              <w:rPr>
                <w:rFonts w:ascii="Calibri" w:hAnsi="Calibri"/>
                <w:b/>
                <w:i w:val="0"/>
                <w:color w:val="0B2545"/>
                <w:sz w:val="16"/>
              </w:rPr>
              <w:t>Formula intent</w:t>
            </w:r>
          </w:p>
        </w:tc>
        <w:tc>
          <w:tcPr>
            <w:tcW w:type="dxa" w:w="4460"/>
            <w:shd w:fill="F2F4F7"/>
            <w:vAlign w:val="center"/>
            <w:tcMar>
              <w:top w:w="80" w:type="dxa"/>
              <w:bottom w:w="80" w:type="dxa"/>
              <w:start w:w="120" w:type="dxa"/>
              <w:end w:w="120" w:type="dxa"/>
            </w:tcMar>
          </w:tcPr>
          <w:p>
            <w:pPr>
              <w:spacing w:after="0"/>
            </w:pPr>
            <w:r>
              <w:rPr>
                <w:rFonts w:ascii="Calibri" w:hAnsi="Calibri"/>
                <w:b/>
                <w:i w:val="0"/>
                <w:color w:val="0B2545"/>
                <w:sz w:val="16"/>
              </w:rPr>
              <w:t>Target fact/calculation</w:t>
            </w:r>
          </w:p>
        </w:tc>
      </w:tr>
      <w:tr>
        <w:trPr>
          <w:cantSplit/>
        </w:trPr>
        <w:tc>
          <w:tcPr>
            <w:tcW w:type="dxa" w:w="1800"/>
            <w:vAlign w:val="center"/>
            <w:tcMar>
              <w:top w:w="80" w:type="dxa"/>
              <w:bottom w:w="80" w:type="dxa"/>
              <w:start w:w="120" w:type="dxa"/>
              <w:end w:w="120" w:type="dxa"/>
            </w:tcMar>
          </w:tcPr>
          <w:p>
            <w:pPr>
              <w:spacing w:after="0" w:line="252" w:lineRule="auto"/>
            </w:pPr>
            <w:r>
              <w:rPr>
                <w:rFonts w:ascii="Calibri" w:hAnsi="Calibri"/>
                <w:b w:val="0"/>
                <w:i w:val="0"/>
                <w:color w:val="0B2545"/>
                <w:sz w:val="16"/>
              </w:rPr>
              <w:t>Week</w:t>
            </w:r>
          </w:p>
        </w:tc>
        <w:tc>
          <w:tcPr>
            <w:tcW w:type="dxa" w:w="3100"/>
            <w:vAlign w:val="center"/>
            <w:tcMar>
              <w:top w:w="80" w:type="dxa"/>
              <w:bottom w:w="80" w:type="dxa"/>
              <w:start w:w="120" w:type="dxa"/>
              <w:end w:w="120" w:type="dxa"/>
            </w:tcMar>
          </w:tcPr>
          <w:p>
            <w:pPr>
              <w:spacing w:after="0" w:line="252" w:lineRule="auto"/>
            </w:pPr>
            <w:r>
              <w:rPr>
                <w:rFonts w:ascii="Calibri" w:hAnsi="Calibri"/>
                <w:b w:val="0"/>
                <w:i w:val="0"/>
                <w:color w:val="0B2545"/>
                <w:sz w:val="16"/>
              </w:rPr>
              <w:t>Each column is seven days from the adjacent column</w:t>
            </w:r>
          </w:p>
        </w:tc>
        <w:tc>
          <w:tcPr>
            <w:tcW w:type="dxa" w:w="4460"/>
            <w:vAlign w:val="center"/>
            <w:tcMar>
              <w:top w:w="80" w:type="dxa"/>
              <w:bottom w:w="80" w:type="dxa"/>
              <w:start w:w="120" w:type="dxa"/>
              <w:end w:w="120" w:type="dxa"/>
            </w:tcMar>
          </w:tcPr>
          <w:p>
            <w:pPr>
              <w:spacing w:after="0" w:line="252" w:lineRule="auto"/>
            </w:pPr>
            <w:r>
              <w:rPr>
                <w:rFonts w:ascii="Calibri" w:hAnsi="Calibri"/>
                <w:b w:val="0"/>
                <w:i w:val="0"/>
                <w:color w:val="0B2545"/>
                <w:sz w:val="16"/>
              </w:rPr>
              <w:t>WeeklyFinancialPeriod using Saturday–Friday boundaries; display Saturday capture date or Friday period end clearly.</w:t>
            </w:r>
          </w:p>
        </w:tc>
      </w:tr>
      <w:tr>
        <w:trPr>
          <w:cantSplit/>
        </w:trPr>
        <w:tc>
          <w:tcPr>
            <w:tcW w:type="dxa" w:w="1800"/>
            <w:vAlign w:val="center"/>
            <w:tcMar>
              <w:top w:w="80" w:type="dxa"/>
              <w:bottom w:w="80" w:type="dxa"/>
              <w:start w:w="120" w:type="dxa"/>
              <w:end w:w="120" w:type="dxa"/>
            </w:tcMar>
          </w:tcPr>
          <w:p>
            <w:pPr>
              <w:spacing w:after="0" w:line="252" w:lineRule="auto"/>
            </w:pPr>
            <w:r>
              <w:rPr>
                <w:rFonts w:ascii="Calibri" w:hAnsi="Calibri"/>
                <w:b w:val="0"/>
                <w:i w:val="0"/>
                <w:color w:val="0B2545"/>
                <w:sz w:val="16"/>
              </w:rPr>
              <w:t>Start</w:t>
            </w:r>
          </w:p>
        </w:tc>
        <w:tc>
          <w:tcPr>
            <w:tcW w:type="dxa" w:w="3100"/>
            <w:vAlign w:val="center"/>
            <w:tcMar>
              <w:top w:w="80" w:type="dxa"/>
              <w:bottom w:w="80" w:type="dxa"/>
              <w:start w:w="120" w:type="dxa"/>
              <w:end w:w="120" w:type="dxa"/>
            </w:tcMar>
          </w:tcPr>
          <w:p>
            <w:pPr>
              <w:spacing w:after="0" w:line="252" w:lineRule="auto"/>
            </w:pPr>
            <w:r>
              <w:rPr>
                <w:rFonts w:ascii="Calibri" w:hAnsi="Calibri"/>
                <w:b w:val="0"/>
                <w:i w:val="0"/>
                <w:color w:val="0B2545"/>
                <w:sz w:val="16"/>
              </w:rPr>
              <w:t>Prior period Ending Balance</w:t>
            </w:r>
          </w:p>
        </w:tc>
        <w:tc>
          <w:tcPr>
            <w:tcW w:type="dxa" w:w="4460"/>
            <w:vAlign w:val="center"/>
            <w:tcMar>
              <w:top w:w="80" w:type="dxa"/>
              <w:bottom w:w="80" w:type="dxa"/>
              <w:start w:w="120" w:type="dxa"/>
              <w:end w:w="120" w:type="dxa"/>
            </w:tcMar>
          </w:tcPr>
          <w:p>
            <w:pPr>
              <w:spacing w:after="0" w:line="252" w:lineRule="auto"/>
            </w:pPr>
            <w:r>
              <w:rPr>
                <w:rFonts w:ascii="Calibri" w:hAnsi="Calibri"/>
                <w:b w:val="0"/>
                <w:i w:val="0"/>
                <w:color w:val="0B2545"/>
                <w:sz w:val="16"/>
              </w:rPr>
              <w:t>For forecast: prior projected/actual end. For completed period: opening balance may be derived, while actual captured ending balance remains authoritative.</w:t>
            </w:r>
          </w:p>
        </w:tc>
      </w:tr>
      <w:tr>
        <w:trPr>
          <w:cantSplit/>
        </w:trPr>
        <w:tc>
          <w:tcPr>
            <w:tcW w:type="dxa" w:w="1800"/>
            <w:vAlign w:val="center"/>
            <w:tcMar>
              <w:top w:w="80" w:type="dxa"/>
              <w:bottom w:w="80" w:type="dxa"/>
              <w:start w:w="120" w:type="dxa"/>
              <w:end w:w="120" w:type="dxa"/>
            </w:tcMar>
          </w:tcPr>
          <w:p>
            <w:pPr>
              <w:spacing w:after="0" w:line="252" w:lineRule="auto"/>
            </w:pPr>
            <w:r>
              <w:rPr>
                <w:rFonts w:ascii="Calibri" w:hAnsi="Calibri"/>
                <w:b w:val="0"/>
                <w:i w:val="0"/>
                <w:color w:val="0B2545"/>
                <w:sz w:val="16"/>
              </w:rPr>
              <w:t>Disburse / expense</w:t>
            </w:r>
          </w:p>
        </w:tc>
        <w:tc>
          <w:tcPr>
            <w:tcW w:type="dxa" w:w="3100"/>
            <w:vAlign w:val="center"/>
            <w:tcMar>
              <w:top w:w="80" w:type="dxa"/>
              <w:bottom w:w="80" w:type="dxa"/>
              <w:start w:w="120" w:type="dxa"/>
              <w:end w:w="120" w:type="dxa"/>
            </w:tcMar>
          </w:tcPr>
          <w:p>
            <w:pPr>
              <w:spacing w:after="0" w:line="252" w:lineRule="auto"/>
            </w:pPr>
            <w:r>
              <w:rPr>
                <w:rFonts w:ascii="Calibri" w:hAnsi="Calibri"/>
                <w:b w:val="0"/>
                <w:i w:val="0"/>
                <w:color w:val="0B2545"/>
                <w:sz w:val="16"/>
              </w:rPr>
              <w:t>Manual negative planned or actual cash movement</w:t>
            </w:r>
          </w:p>
        </w:tc>
        <w:tc>
          <w:tcPr>
            <w:tcW w:type="dxa" w:w="4460"/>
            <w:vAlign w:val="center"/>
            <w:tcMar>
              <w:top w:w="80" w:type="dxa"/>
              <w:bottom w:w="80" w:type="dxa"/>
              <w:start w:w="120" w:type="dxa"/>
              <w:end w:w="120" w:type="dxa"/>
            </w:tcMar>
          </w:tcPr>
          <w:p>
            <w:pPr>
              <w:spacing w:after="0" w:line="252" w:lineRule="auto"/>
            </w:pPr>
            <w:r>
              <w:rPr>
                <w:rFonts w:ascii="Calibri" w:hAnsi="Calibri"/>
                <w:b w:val="0"/>
                <w:i w:val="0"/>
                <w:color w:val="0B2545"/>
                <w:sz w:val="16"/>
              </w:rPr>
              <w:t>Dated PlannedCashFlowEvent or actual NonROITransaction.</w:t>
            </w:r>
          </w:p>
        </w:tc>
      </w:tr>
      <w:tr>
        <w:trPr>
          <w:cantSplit/>
        </w:trPr>
        <w:tc>
          <w:tcPr>
            <w:tcW w:type="dxa" w:w="1800"/>
            <w:vAlign w:val="center"/>
            <w:tcMar>
              <w:top w:w="80" w:type="dxa"/>
              <w:bottom w:w="80" w:type="dxa"/>
              <w:start w:w="120" w:type="dxa"/>
              <w:end w:w="120" w:type="dxa"/>
            </w:tcMar>
          </w:tcPr>
          <w:p>
            <w:pPr>
              <w:spacing w:after="0" w:line="252" w:lineRule="auto"/>
            </w:pPr>
            <w:r>
              <w:rPr>
                <w:rFonts w:ascii="Calibri" w:hAnsi="Calibri"/>
                <w:b w:val="0"/>
                <w:i w:val="0"/>
                <w:color w:val="0B2545"/>
                <w:sz w:val="16"/>
              </w:rPr>
              <w:t>Income</w:t>
            </w:r>
          </w:p>
        </w:tc>
        <w:tc>
          <w:tcPr>
            <w:tcW w:type="dxa" w:w="3100"/>
            <w:vAlign w:val="center"/>
            <w:tcMar>
              <w:top w:w="80" w:type="dxa"/>
              <w:bottom w:w="80" w:type="dxa"/>
              <w:start w:w="120" w:type="dxa"/>
              <w:end w:w="120" w:type="dxa"/>
            </w:tcMar>
          </w:tcPr>
          <w:p>
            <w:pPr>
              <w:spacing w:after="0" w:line="252" w:lineRule="auto"/>
            </w:pPr>
            <w:r>
              <w:rPr>
                <w:rFonts w:ascii="Calibri" w:hAnsi="Calibri"/>
                <w:b w:val="0"/>
                <w:i w:val="0"/>
                <w:color w:val="0B2545"/>
                <w:sz w:val="16"/>
              </w:rPr>
              <w:t>Income Plan planned/actual account amount</w:t>
            </w:r>
          </w:p>
        </w:tc>
        <w:tc>
          <w:tcPr>
            <w:tcW w:type="dxa" w:w="4460"/>
            <w:vAlign w:val="center"/>
            <w:tcMar>
              <w:top w:w="80" w:type="dxa"/>
              <w:bottom w:w="80" w:type="dxa"/>
              <w:start w:w="120" w:type="dxa"/>
              <w:end w:w="120" w:type="dxa"/>
            </w:tcMar>
          </w:tcPr>
          <w:p>
            <w:pPr>
              <w:spacing w:after="0" w:line="252" w:lineRule="auto"/>
            </w:pPr>
            <w:r>
              <w:rPr>
                <w:rFonts w:ascii="Calibri" w:hAnsi="Calibri"/>
                <w:b w:val="0"/>
                <w:i w:val="0"/>
                <w:color w:val="0B2545"/>
                <w:sz w:val="16"/>
              </w:rPr>
              <w:t>Account/week aggregate from the approved plan snapshot or actual dividend events.</w:t>
            </w:r>
          </w:p>
        </w:tc>
      </w:tr>
      <w:tr>
        <w:trPr>
          <w:cantSplit/>
        </w:trPr>
        <w:tc>
          <w:tcPr>
            <w:tcW w:type="dxa" w:w="1800"/>
            <w:vAlign w:val="center"/>
            <w:tcMar>
              <w:top w:w="80" w:type="dxa"/>
              <w:bottom w:w="80" w:type="dxa"/>
              <w:start w:w="120" w:type="dxa"/>
              <w:end w:w="120" w:type="dxa"/>
            </w:tcMar>
          </w:tcPr>
          <w:p>
            <w:pPr>
              <w:spacing w:after="0" w:line="252" w:lineRule="auto"/>
            </w:pPr>
            <w:r>
              <w:rPr>
                <w:rFonts w:ascii="Calibri" w:hAnsi="Calibri"/>
                <w:b w:val="0"/>
                <w:i w:val="0"/>
                <w:color w:val="0B2545"/>
                <w:sz w:val="16"/>
              </w:rPr>
              <w:t>Ending Balance</w:t>
            </w:r>
          </w:p>
        </w:tc>
        <w:tc>
          <w:tcPr>
            <w:tcW w:type="dxa" w:w="3100"/>
            <w:vAlign w:val="center"/>
            <w:tcMar>
              <w:top w:w="80" w:type="dxa"/>
              <w:bottom w:w="80" w:type="dxa"/>
              <w:start w:w="120" w:type="dxa"/>
              <w:end w:w="120" w:type="dxa"/>
            </w:tcMar>
          </w:tcPr>
          <w:p>
            <w:pPr>
              <w:spacing w:after="0" w:line="252" w:lineRule="auto"/>
            </w:pPr>
            <w:r>
              <w:rPr>
                <w:rFonts w:ascii="Calibri" w:hAnsi="Calibri"/>
                <w:b w:val="0"/>
                <w:i w:val="0"/>
                <w:color w:val="0B2545"/>
                <w:sz w:val="16"/>
              </w:rPr>
              <w:t>Start + disbursement/expense + income</w:t>
            </w:r>
          </w:p>
        </w:tc>
        <w:tc>
          <w:tcPr>
            <w:tcW w:type="dxa" w:w="4460"/>
            <w:vAlign w:val="center"/>
            <w:tcMar>
              <w:top w:w="80" w:type="dxa"/>
              <w:bottom w:w="80" w:type="dxa"/>
              <w:start w:w="120" w:type="dxa"/>
              <w:end w:w="120" w:type="dxa"/>
            </w:tcMar>
          </w:tcPr>
          <w:p>
            <w:pPr>
              <w:spacing w:after="0" w:line="252" w:lineRule="auto"/>
            </w:pPr>
            <w:r>
              <w:rPr>
                <w:rFonts w:ascii="Calibri" w:hAnsi="Calibri"/>
                <w:b w:val="0"/>
                <w:i w:val="0"/>
                <w:color w:val="0B2545"/>
                <w:sz w:val="16"/>
              </w:rPr>
              <w:t>Projected ending balance. Completed period uses actual AccountBalanceSnapshot and separately reports projection variance.</w:t>
            </w:r>
          </w:p>
        </w:tc>
      </w:tr>
      <w:tr>
        <w:trPr>
          <w:cantSplit/>
        </w:trPr>
        <w:tc>
          <w:tcPr>
            <w:tcW w:type="dxa" w:w="1800"/>
            <w:vAlign w:val="center"/>
            <w:tcMar>
              <w:top w:w="80" w:type="dxa"/>
              <w:bottom w:w="80" w:type="dxa"/>
              <w:start w:w="120" w:type="dxa"/>
              <w:end w:w="120" w:type="dxa"/>
            </w:tcMar>
          </w:tcPr>
          <w:p>
            <w:pPr>
              <w:spacing w:after="0" w:line="252" w:lineRule="auto"/>
            </w:pPr>
            <w:r>
              <w:rPr>
                <w:rFonts w:ascii="Calibri" w:hAnsi="Calibri"/>
                <w:b w:val="0"/>
                <w:i w:val="0"/>
                <w:color w:val="0B2545"/>
                <w:sz w:val="16"/>
              </w:rPr>
              <w:t>Delta cashflow</w:t>
            </w:r>
          </w:p>
        </w:tc>
        <w:tc>
          <w:tcPr>
            <w:tcW w:type="dxa" w:w="3100"/>
            <w:vAlign w:val="center"/>
            <w:tcMar>
              <w:top w:w="80" w:type="dxa"/>
              <w:bottom w:w="80" w:type="dxa"/>
              <w:start w:w="120" w:type="dxa"/>
              <w:end w:w="120" w:type="dxa"/>
            </w:tcMar>
          </w:tcPr>
          <w:p>
            <w:pPr>
              <w:spacing w:after="0" w:line="252" w:lineRule="auto"/>
            </w:pPr>
            <w:r>
              <w:rPr>
                <w:rFonts w:ascii="Calibri" w:hAnsi="Calibri"/>
                <w:b w:val="0"/>
                <w:i w:val="0"/>
                <w:color w:val="0B2545"/>
                <w:sz w:val="16"/>
              </w:rPr>
              <w:t>Income + disbursement</w:t>
            </w:r>
          </w:p>
        </w:tc>
        <w:tc>
          <w:tcPr>
            <w:tcW w:type="dxa" w:w="4460"/>
            <w:vAlign w:val="center"/>
            <w:tcMar>
              <w:top w:w="80" w:type="dxa"/>
              <w:bottom w:w="80" w:type="dxa"/>
              <w:start w:w="120" w:type="dxa"/>
              <w:end w:w="120" w:type="dxa"/>
            </w:tcMar>
          </w:tcPr>
          <w:p>
            <w:pPr>
              <w:spacing w:after="0" w:line="252" w:lineRule="auto"/>
            </w:pPr>
            <w:r>
              <w:rPr>
                <w:rFonts w:ascii="Calibri" w:hAnsi="Calibri"/>
                <w:b w:val="0"/>
                <w:i w:val="0"/>
                <w:color w:val="0B2545"/>
                <w:sz w:val="16"/>
              </w:rPr>
              <w:t>Net planned/actual cashflow for the period.</w:t>
            </w:r>
          </w:p>
        </w:tc>
      </w:tr>
      <w:tr>
        <w:trPr>
          <w:cantSplit/>
        </w:trPr>
        <w:tc>
          <w:tcPr>
            <w:tcW w:type="dxa" w:w="1800"/>
            <w:vAlign w:val="center"/>
            <w:tcMar>
              <w:top w:w="80" w:type="dxa"/>
              <w:bottom w:w="80" w:type="dxa"/>
              <w:start w:w="120" w:type="dxa"/>
              <w:end w:w="120" w:type="dxa"/>
            </w:tcMar>
          </w:tcPr>
          <w:p>
            <w:pPr>
              <w:spacing w:after="0" w:line="252" w:lineRule="auto"/>
            </w:pPr>
            <w:r>
              <w:rPr>
                <w:rFonts w:ascii="Calibri" w:hAnsi="Calibri"/>
                <w:b w:val="0"/>
                <w:i w:val="0"/>
                <w:color w:val="0B2545"/>
                <w:sz w:val="16"/>
              </w:rPr>
              <w:t>Balance &gt; floor</w:t>
            </w:r>
          </w:p>
        </w:tc>
        <w:tc>
          <w:tcPr>
            <w:tcW w:type="dxa" w:w="3100"/>
            <w:vAlign w:val="center"/>
            <w:tcMar>
              <w:top w:w="80" w:type="dxa"/>
              <w:bottom w:w="80" w:type="dxa"/>
              <w:start w:w="120" w:type="dxa"/>
              <w:end w:w="120" w:type="dxa"/>
            </w:tcMar>
          </w:tcPr>
          <w:p>
            <w:pPr>
              <w:spacing w:after="0" w:line="252" w:lineRule="auto"/>
            </w:pPr>
            <w:r>
              <w:rPr>
                <w:rFonts w:ascii="Calibri" w:hAnsi="Calibri"/>
                <w:b w:val="0"/>
                <w:i w:val="0"/>
                <w:color w:val="0B2545"/>
                <w:sz w:val="16"/>
              </w:rPr>
              <w:t>Manual labels: Income 5,000; Car 4,000; Health 200</w:t>
            </w:r>
          </w:p>
        </w:tc>
        <w:tc>
          <w:tcPr>
            <w:tcW w:type="dxa" w:w="4460"/>
            <w:vAlign w:val="center"/>
            <w:tcMar>
              <w:top w:w="80" w:type="dxa"/>
              <w:bottom w:w="80" w:type="dxa"/>
              <w:start w:w="120" w:type="dxa"/>
              <w:end w:w="120" w:type="dxa"/>
            </w:tcMar>
          </w:tcPr>
          <w:p>
            <w:pPr>
              <w:spacing w:after="0" w:line="252" w:lineRule="auto"/>
            </w:pPr>
            <w:r>
              <w:rPr>
                <w:rFonts w:ascii="Calibri" w:hAnsi="Calibri"/>
                <w:b w:val="0"/>
                <w:i w:val="0"/>
                <w:color w:val="0B2545"/>
                <w:sz w:val="16"/>
              </w:rPr>
              <w:t>Effective-dated AccountSafetyFloor with warning severity and headroom.</w:t>
            </w:r>
          </w:p>
        </w:tc>
      </w:tr>
      <w:tr>
        <w:trPr>
          <w:cantSplit/>
        </w:trPr>
        <w:tc>
          <w:tcPr>
            <w:tcW w:type="dxa" w:w="1800"/>
            <w:vAlign w:val="center"/>
            <w:tcMar>
              <w:top w:w="80" w:type="dxa"/>
              <w:bottom w:w="80" w:type="dxa"/>
              <w:start w:w="120" w:type="dxa"/>
              <w:end w:w="120" w:type="dxa"/>
            </w:tcMar>
          </w:tcPr>
          <w:p>
            <w:pPr>
              <w:spacing w:after="0" w:line="252" w:lineRule="auto"/>
            </w:pPr>
            <w:r>
              <w:rPr>
                <w:rFonts w:ascii="Calibri" w:hAnsi="Calibri"/>
                <w:b w:val="0"/>
                <w:i w:val="0"/>
                <w:color w:val="0B2545"/>
                <w:sz w:val="16"/>
              </w:rPr>
              <w:t>Plan/Actual count</w:t>
            </w:r>
          </w:p>
        </w:tc>
        <w:tc>
          <w:tcPr>
            <w:tcW w:type="dxa" w:w="3100"/>
            <w:vAlign w:val="center"/>
            <w:tcMar>
              <w:top w:w="80" w:type="dxa"/>
              <w:bottom w:w="80" w:type="dxa"/>
              <w:start w:w="120" w:type="dxa"/>
              <w:end w:w="120" w:type="dxa"/>
            </w:tcMar>
          </w:tcPr>
          <w:p>
            <w:pPr>
              <w:spacing w:after="0" w:line="252" w:lineRule="auto"/>
            </w:pPr>
            <w:r>
              <w:rPr>
                <w:rFonts w:ascii="Calibri" w:hAnsi="Calibri"/>
                <w:b w:val="0"/>
                <w:i w:val="0"/>
                <w:color w:val="0B2545"/>
                <w:sz w:val="16"/>
              </w:rPr>
              <w:t>Manual label such as 4 Plan / 10 Actual</w:t>
            </w:r>
          </w:p>
        </w:tc>
        <w:tc>
          <w:tcPr>
            <w:tcW w:type="dxa" w:w="4460"/>
            <w:vAlign w:val="center"/>
            <w:tcMar>
              <w:top w:w="80" w:type="dxa"/>
              <w:bottom w:w="80" w:type="dxa"/>
              <w:start w:w="120" w:type="dxa"/>
              <w:end w:w="120" w:type="dxa"/>
            </w:tcMar>
          </w:tcPr>
          <w:p>
            <w:pPr>
              <w:spacing w:after="0" w:line="252" w:lineRule="auto"/>
            </w:pPr>
            <w:r>
              <w:rPr>
                <w:rFonts w:ascii="Calibri" w:hAnsi="Calibri"/>
                <w:b w:val="0"/>
                <w:i w:val="0"/>
                <w:color w:val="0B2545"/>
                <w:sz w:val="16"/>
              </w:rPr>
              <w:t>Calculated count based on period status and selected display window.</w:t>
            </w:r>
          </w:p>
        </w:tc>
      </w:tr>
    </w:tbl>
    <w:p>
      <w:pPr>
        <w:spacing w:after="20"/>
      </w:pPr>
    </w:p>
    <w:p>
      <w:pPr>
        <w:pStyle w:val="Heading2"/>
      </w:pPr>
      <w:r>
        <w:t>7.1 Account-specific rules</w:t>
      </w:r>
    </w:p>
    <w:tbl>
      <w:tblPr>
        <w:tblStyle w:val="TableGrid"/>
        <w:tblW w:type="dxa" w:w="9360"/>
        <w:jc w:val="left"/>
        <w:tblLayout w:type="fixed"/>
        <w:tblLook w:firstColumn="1" w:firstRow="1" w:lastColumn="0" w:lastRow="0" w:noHBand="0" w:noVBand="1" w:val="04A0"/>
        <w:tblInd w:w="120" w:type="dxa"/>
      </w:tblPr>
      <w:tblGrid>
        <w:gridCol w:w="1500"/>
        <w:gridCol w:w="2500"/>
        <w:gridCol w:w="2600"/>
        <w:gridCol w:w="2760"/>
      </w:tblGrid>
      <w:tr>
        <w:trPr>
          <w:tblHeader w:val="true"/>
          <w:cantSplit/>
        </w:trPr>
        <w:tc>
          <w:tcPr>
            <w:tcW w:type="dxa" w:w="1500"/>
            <w:shd w:fill="F2F4F7"/>
            <w:vAlign w:val="center"/>
            <w:tcMar>
              <w:top w:w="80" w:type="dxa"/>
              <w:bottom w:w="80" w:type="dxa"/>
              <w:start w:w="120" w:type="dxa"/>
              <w:end w:w="120" w:type="dxa"/>
            </w:tcMar>
          </w:tcPr>
          <w:p>
            <w:pPr>
              <w:spacing w:after="0"/>
            </w:pPr>
            <w:r>
              <w:rPr>
                <w:rFonts w:ascii="Calibri" w:hAnsi="Calibri"/>
                <w:b/>
                <w:i w:val="0"/>
                <w:color w:val="0B2545"/>
                <w:sz w:val="16"/>
              </w:rPr>
              <w:t>Account</w:t>
            </w:r>
          </w:p>
        </w:tc>
        <w:tc>
          <w:tcPr>
            <w:tcW w:type="dxa" w:w="2500"/>
            <w:shd w:fill="F2F4F7"/>
            <w:vAlign w:val="center"/>
            <w:tcMar>
              <w:top w:w="80" w:type="dxa"/>
              <w:bottom w:w="80" w:type="dxa"/>
              <w:start w:w="120" w:type="dxa"/>
              <w:end w:w="120" w:type="dxa"/>
            </w:tcMar>
          </w:tcPr>
          <w:p>
            <w:pPr>
              <w:spacing w:after="0"/>
            </w:pPr>
            <w:r>
              <w:rPr>
                <w:rFonts w:ascii="Calibri" w:hAnsi="Calibri"/>
                <w:b/>
                <w:i w:val="0"/>
                <w:color w:val="0B2545"/>
                <w:sz w:val="16"/>
              </w:rPr>
              <w:t>Income</w:t>
            </w:r>
          </w:p>
        </w:tc>
        <w:tc>
          <w:tcPr>
            <w:tcW w:type="dxa" w:w="2600"/>
            <w:shd w:fill="F2F4F7"/>
            <w:vAlign w:val="center"/>
            <w:tcMar>
              <w:top w:w="80" w:type="dxa"/>
              <w:bottom w:w="80" w:type="dxa"/>
              <w:start w:w="120" w:type="dxa"/>
              <w:end w:w="120" w:type="dxa"/>
            </w:tcMar>
          </w:tcPr>
          <w:p>
            <w:pPr>
              <w:spacing w:after="0"/>
            </w:pPr>
            <w:r>
              <w:rPr>
                <w:rFonts w:ascii="Calibri" w:hAnsi="Calibri"/>
                <w:b/>
                <w:i w:val="0"/>
                <w:color w:val="0B2545"/>
                <w:sz w:val="16"/>
              </w:rPr>
              <w:t>Outflow</w:t>
            </w:r>
          </w:p>
        </w:tc>
        <w:tc>
          <w:tcPr>
            <w:tcW w:type="dxa" w:w="2760"/>
            <w:shd w:fill="F2F4F7"/>
            <w:vAlign w:val="center"/>
            <w:tcMar>
              <w:top w:w="80" w:type="dxa"/>
              <w:bottom w:w="80" w:type="dxa"/>
              <w:start w:w="120" w:type="dxa"/>
              <w:end w:w="120" w:type="dxa"/>
            </w:tcMar>
          </w:tcPr>
          <w:p>
            <w:pPr>
              <w:spacing w:after="0"/>
            </w:pPr>
            <w:r>
              <w:rPr>
                <w:rFonts w:ascii="Calibri" w:hAnsi="Calibri"/>
                <w:b/>
                <w:i w:val="0"/>
                <w:color w:val="0B2545"/>
                <w:sz w:val="16"/>
              </w:rPr>
              <w:t>Floor / special rule</w:t>
            </w:r>
          </w:p>
        </w:tc>
      </w:tr>
      <w:tr>
        <w:trPr>
          <w:cantSplit/>
        </w:trPr>
        <w:tc>
          <w:tcPr>
            <w:tcW w:type="dxa" w:w="1500"/>
            <w:vAlign w:val="center"/>
            <w:tcMar>
              <w:top w:w="80" w:type="dxa"/>
              <w:bottom w:w="80" w:type="dxa"/>
              <w:start w:w="120" w:type="dxa"/>
              <w:end w:w="120" w:type="dxa"/>
            </w:tcMar>
          </w:tcPr>
          <w:p>
            <w:pPr>
              <w:spacing w:after="0" w:line="252" w:lineRule="auto"/>
            </w:pPr>
            <w:r>
              <w:rPr>
                <w:rFonts w:ascii="Calibri" w:hAnsi="Calibri"/>
                <w:b w:val="0"/>
                <w:i w:val="0"/>
                <w:color w:val="0B2545"/>
                <w:sz w:val="16"/>
              </w:rPr>
              <w:t>Income</w:t>
            </w:r>
          </w:p>
        </w:tc>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Income Plan income-account amount</w:t>
            </w:r>
          </w:p>
        </w:tc>
        <w:tc>
          <w:tcPr>
            <w:tcW w:type="dxa" w:w="2600"/>
            <w:vAlign w:val="center"/>
            <w:tcMar>
              <w:top w:w="80" w:type="dxa"/>
              <w:bottom w:w="80" w:type="dxa"/>
              <w:start w:w="120" w:type="dxa"/>
              <w:end w:w="120" w:type="dxa"/>
            </w:tcMar>
          </w:tcPr>
          <w:p>
            <w:pPr>
              <w:spacing w:after="0" w:line="252" w:lineRule="auto"/>
            </w:pPr>
            <w:r>
              <w:rPr>
                <w:rFonts w:ascii="Calibri" w:hAnsi="Calibri"/>
                <w:b w:val="0"/>
                <w:i w:val="0"/>
                <w:color w:val="0B2545"/>
                <w:sz w:val="16"/>
              </w:rPr>
              <w:t>Planned/actual distributions</w:t>
            </w:r>
          </w:p>
        </w:tc>
        <w:tc>
          <w:tcPr>
            <w:tcW w:type="dxa" w:w="2760"/>
            <w:vAlign w:val="center"/>
            <w:tcMar>
              <w:top w:w="80" w:type="dxa"/>
              <w:bottom w:w="80" w:type="dxa"/>
              <w:start w:w="120" w:type="dxa"/>
              <w:end w:w="120" w:type="dxa"/>
            </w:tcMar>
          </w:tcPr>
          <w:p>
            <w:pPr>
              <w:spacing w:after="0" w:line="252" w:lineRule="auto"/>
            </w:pPr>
            <w:r>
              <w:rPr>
                <w:rFonts w:ascii="Calibri" w:hAnsi="Calibri"/>
                <w:b w:val="0"/>
                <w:i w:val="0"/>
                <w:color w:val="0B2545"/>
                <w:sz w:val="16"/>
              </w:rPr>
              <w:t>Initial legacy floor 5,000; configurable.</w:t>
            </w:r>
          </w:p>
        </w:tc>
      </w:tr>
      <w:tr>
        <w:trPr>
          <w:cantSplit/>
        </w:trPr>
        <w:tc>
          <w:tcPr>
            <w:tcW w:type="dxa" w:w="1500"/>
            <w:vAlign w:val="center"/>
            <w:tcMar>
              <w:top w:w="80" w:type="dxa"/>
              <w:bottom w:w="80" w:type="dxa"/>
              <w:start w:w="120" w:type="dxa"/>
              <w:end w:w="120" w:type="dxa"/>
            </w:tcMar>
          </w:tcPr>
          <w:p>
            <w:pPr>
              <w:spacing w:after="0" w:line="252" w:lineRule="auto"/>
            </w:pPr>
            <w:r>
              <w:rPr>
                <w:rFonts w:ascii="Calibri" w:hAnsi="Calibri"/>
                <w:b w:val="0"/>
                <w:i w:val="0"/>
                <w:color w:val="0B2545"/>
                <w:sz w:val="16"/>
              </w:rPr>
              <w:t>Car</w:t>
            </w:r>
          </w:p>
        </w:tc>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Income Plan Car-account amount</w:t>
            </w:r>
          </w:p>
        </w:tc>
        <w:tc>
          <w:tcPr>
            <w:tcW w:type="dxa" w:w="2600"/>
            <w:vAlign w:val="center"/>
            <w:tcMar>
              <w:top w:w="80" w:type="dxa"/>
              <w:bottom w:w="80" w:type="dxa"/>
              <w:start w:w="120" w:type="dxa"/>
              <w:end w:w="120" w:type="dxa"/>
            </w:tcMar>
          </w:tcPr>
          <w:p>
            <w:pPr>
              <w:spacing w:after="0" w:line="252" w:lineRule="auto"/>
            </w:pPr>
            <w:r>
              <w:rPr>
                <w:rFonts w:ascii="Calibri" w:hAnsi="Calibri"/>
                <w:b w:val="0"/>
                <w:i w:val="0"/>
                <w:color w:val="0B2545"/>
                <w:sz w:val="16"/>
              </w:rPr>
              <w:t>Planned/actual withdrawals</w:t>
            </w:r>
          </w:p>
        </w:tc>
        <w:tc>
          <w:tcPr>
            <w:tcW w:type="dxa" w:w="2760"/>
            <w:vAlign w:val="center"/>
            <w:tcMar>
              <w:top w:w="80" w:type="dxa"/>
              <w:bottom w:w="80" w:type="dxa"/>
              <w:start w:w="120" w:type="dxa"/>
              <w:end w:w="120" w:type="dxa"/>
            </w:tcMar>
          </w:tcPr>
          <w:p>
            <w:pPr>
              <w:spacing w:after="0" w:line="252" w:lineRule="auto"/>
            </w:pPr>
            <w:r>
              <w:rPr>
                <w:rFonts w:ascii="Calibri" w:hAnsi="Calibri"/>
                <w:b w:val="0"/>
                <w:i w:val="0"/>
                <w:color w:val="0B2545"/>
                <w:sz w:val="16"/>
              </w:rPr>
              <w:t>Initial legacy floor 4,000; taxable consequences come from investment events, not withdrawal amount.</w:t>
            </w:r>
          </w:p>
        </w:tc>
      </w:tr>
      <w:tr>
        <w:trPr>
          <w:cantSplit/>
        </w:trPr>
        <w:tc>
          <w:tcPr>
            <w:tcW w:type="dxa" w:w="1500"/>
            <w:vAlign w:val="center"/>
            <w:tcMar>
              <w:top w:w="80" w:type="dxa"/>
              <w:bottom w:w="80" w:type="dxa"/>
              <w:start w:w="120" w:type="dxa"/>
              <w:end w:w="120" w:type="dxa"/>
            </w:tcMar>
          </w:tcPr>
          <w:p>
            <w:pPr>
              <w:spacing w:after="0" w:line="252" w:lineRule="auto"/>
            </w:pPr>
            <w:r>
              <w:rPr>
                <w:rFonts w:ascii="Calibri" w:hAnsi="Calibri"/>
                <w:b w:val="0"/>
                <w:i w:val="0"/>
                <w:color w:val="0B2545"/>
                <w:sz w:val="16"/>
              </w:rPr>
              <w:t>Health/HSA</w:t>
            </w:r>
          </w:p>
        </w:tc>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Income Plan Health-account amount</w:t>
            </w:r>
          </w:p>
        </w:tc>
        <w:tc>
          <w:tcPr>
            <w:tcW w:type="dxa" w:w="2600"/>
            <w:vAlign w:val="center"/>
            <w:tcMar>
              <w:top w:w="80" w:type="dxa"/>
              <w:bottom w:w="80" w:type="dxa"/>
              <w:start w:w="120" w:type="dxa"/>
              <w:end w:w="120" w:type="dxa"/>
            </w:tcMar>
          </w:tcPr>
          <w:p>
            <w:pPr>
              <w:spacing w:after="0" w:line="252" w:lineRule="auto"/>
            </w:pPr>
            <w:r>
              <w:rPr>
                <w:rFonts w:ascii="Calibri" w:hAnsi="Calibri"/>
                <w:b w:val="0"/>
                <w:i w:val="0"/>
                <w:color w:val="0B2545"/>
                <w:sz w:val="16"/>
              </w:rPr>
              <w:t>Medical expenses/HSA withdrawals</w:t>
            </w:r>
          </w:p>
        </w:tc>
        <w:tc>
          <w:tcPr>
            <w:tcW w:type="dxa" w:w="2760"/>
            <w:vAlign w:val="center"/>
            <w:tcMar>
              <w:top w:w="80" w:type="dxa"/>
              <w:bottom w:w="80" w:type="dxa"/>
              <w:start w:w="120" w:type="dxa"/>
              <w:end w:w="120" w:type="dxa"/>
            </w:tcMar>
          </w:tcPr>
          <w:p>
            <w:pPr>
              <w:spacing w:after="0" w:line="252" w:lineRule="auto"/>
            </w:pPr>
            <w:r>
              <w:rPr>
                <w:rFonts w:ascii="Calibri" w:hAnsi="Calibri"/>
                <w:b w:val="0"/>
                <w:i w:val="0"/>
                <w:color w:val="0B2545"/>
                <w:sz w:val="16"/>
              </w:rPr>
              <w:t>Initial legacy floor 200; track qualified-medical status on actual distributions.</w:t>
            </w:r>
          </w:p>
        </w:tc>
      </w:tr>
      <w:tr>
        <w:trPr>
          <w:cantSplit/>
        </w:trPr>
        <w:tc>
          <w:tcPr>
            <w:tcW w:type="dxa" w:w="1500"/>
            <w:vAlign w:val="center"/>
            <w:tcMar>
              <w:top w:w="80" w:type="dxa"/>
              <w:bottom w:w="80" w:type="dxa"/>
              <w:start w:w="120" w:type="dxa"/>
              <w:end w:w="120" w:type="dxa"/>
            </w:tcMar>
          </w:tcPr>
          <w:p>
            <w:pPr>
              <w:spacing w:after="0" w:line="252" w:lineRule="auto"/>
            </w:pPr>
            <w:r>
              <w:rPr>
                <w:rFonts w:ascii="Calibri" w:hAnsi="Calibri"/>
                <w:b w:val="0"/>
                <w:i w:val="0"/>
                <w:color w:val="0B2545"/>
                <w:sz w:val="16"/>
              </w:rPr>
              <w:t>Roth</w:t>
            </w:r>
          </w:p>
        </w:tc>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Roth plan/actual income or approved contribution source</w:t>
            </w:r>
          </w:p>
        </w:tc>
        <w:tc>
          <w:tcPr>
            <w:tcW w:type="dxa" w:w="2600"/>
            <w:vAlign w:val="center"/>
            <w:tcMar>
              <w:top w:w="80" w:type="dxa"/>
              <w:bottom w:w="80" w:type="dxa"/>
              <w:start w:w="120" w:type="dxa"/>
              <w:end w:w="120" w:type="dxa"/>
            </w:tcMar>
          </w:tcPr>
          <w:p>
            <w:pPr>
              <w:spacing w:after="0" w:line="252" w:lineRule="auto"/>
            </w:pPr>
            <w:r>
              <w:rPr>
                <w:rFonts w:ascii="Calibri" w:hAnsi="Calibri"/>
                <w:b w:val="0"/>
                <w:i w:val="0"/>
                <w:color w:val="0B2545"/>
                <w:sz w:val="16"/>
              </w:rPr>
              <w:t>Planned/actual Roth withdrawals</w:t>
            </w:r>
          </w:p>
        </w:tc>
        <w:tc>
          <w:tcPr>
            <w:tcW w:type="dxa" w:w="2760"/>
            <w:vAlign w:val="center"/>
            <w:tcMar>
              <w:top w:w="80" w:type="dxa"/>
              <w:bottom w:w="80" w:type="dxa"/>
              <w:start w:w="120" w:type="dxa"/>
              <w:end w:w="120" w:type="dxa"/>
            </w:tcMar>
          </w:tcPr>
          <w:p>
            <w:pPr>
              <w:spacing w:after="0" w:line="252" w:lineRule="auto"/>
            </w:pPr>
            <w:r>
              <w:rPr>
                <w:rFonts w:ascii="Calibri" w:hAnsi="Calibri"/>
                <w:b w:val="0"/>
                <w:i w:val="0"/>
                <w:color w:val="0B2545"/>
                <w:sz w:val="16"/>
              </w:rPr>
              <w:t>New burndown; configurable floor; qualified tax-free treatment under approved owner policy.</w:t>
            </w:r>
          </w:p>
        </w:tc>
      </w:tr>
    </w:tbl>
    <w:p>
      <w:pPr>
        <w:spacing w:after="20"/>
      </w:pPr>
    </w:p>
    <w:p>
      <w:pPr>
        <w:pStyle w:val="Heading2"/>
      </w:pPr>
      <w:r>
        <w:t>7.2 Approved forecast lifecycle</w:t>
      </w:r>
    </w:p>
    <w:p>
      <w:pPr>
        <w:pStyle w:val="ListNumber"/>
      </w:pPr>
      <w:r>
        <w:rPr>
          <w:rFonts w:ascii="Calibri" w:hAnsi="Calibri"/>
          <w:b w:val="0"/>
          <w:i w:val="0"/>
          <w:color w:val="0B2545"/>
          <w:sz w:val="22"/>
        </w:rPr>
        <w:t>Create dated planned cash-flow events for anticipated Income, Car, Health and Roth withdrawals or expenses.</w:t>
      </w:r>
    </w:p>
    <w:p>
      <w:pPr>
        <w:pStyle w:val="ListNumber"/>
      </w:pPr>
      <w:r>
        <w:rPr>
          <w:rFonts w:ascii="Calibri" w:hAnsi="Calibri"/>
          <w:b w:val="0"/>
          <w:i w:val="0"/>
          <w:color w:val="0B2545"/>
          <w:sz w:val="22"/>
        </w:rPr>
        <w:t>Calculate weekly projected balances from the latest actual balance, planned income and planned outflows through December 31.</w:t>
      </w:r>
    </w:p>
    <w:p>
      <w:pPr>
        <w:pStyle w:val="ListNumber"/>
      </w:pPr>
      <w:r>
        <w:rPr>
          <w:rFonts w:ascii="Calibri" w:hAnsi="Calibri"/>
          <w:b w:val="0"/>
          <w:i w:val="0"/>
          <w:color w:val="0B2545"/>
          <w:sz w:val="22"/>
        </w:rPr>
        <w:t>Keep the highlighted current week in Plan status until Saturday close.</w:t>
      </w:r>
    </w:p>
    <w:p>
      <w:pPr>
        <w:pStyle w:val="ListNumber"/>
      </w:pPr>
      <w:r>
        <w:rPr>
          <w:rFonts w:ascii="Calibri" w:hAnsi="Calibri"/>
          <w:b w:val="0"/>
          <w:i w:val="0"/>
          <w:color w:val="0B2545"/>
          <w:sz w:val="22"/>
        </w:rPr>
        <w:t>At close, capture actual balances and actual events once; match or replace the planned events and mark the period Actual.</w:t>
      </w:r>
    </w:p>
    <w:p>
      <w:pPr>
        <w:pStyle w:val="ListNumber"/>
      </w:pPr>
      <w:r>
        <w:rPr>
          <w:rFonts w:ascii="Calibri" w:hAnsi="Calibri"/>
          <w:b w:val="0"/>
          <w:i w:val="0"/>
          <w:color w:val="0B2545"/>
          <w:sz w:val="22"/>
        </w:rPr>
        <w:t>Calculate planned-versus-actual variance and roll the forecast forward without altering prior actual periods.</w:t>
      </w:r>
    </w:p>
    <w:p>
      <w:pPr>
        <w:pStyle w:val="ListNumber"/>
      </w:pPr>
      <w:r>
        <w:rPr>
          <w:rFonts w:ascii="Calibri" w:hAnsi="Calibri"/>
          <w:b w:val="0"/>
          <w:i w:val="0"/>
          <w:color w:val="0B2545"/>
          <w:sz w:val="22"/>
        </w:rPr>
        <w:t>Warn before any account is projected to breach its configured safety floor and identify the driving events.</w:t>
      </w:r>
    </w:p>
    <w:p>
      <w:pPr>
        <w:pStyle w:val="Heading1"/>
      </w:pPr>
      <w:r>
        <w:t>8. Weekly Operating Process</w:t>
      </w:r>
    </w:p>
    <w:tbl>
      <w:tblPr>
        <w:tblStyle w:val="TableGrid"/>
        <w:tblW w:type="dxa" w:w="9360"/>
        <w:jc w:val="left"/>
        <w:tblLayout w:type="fixed"/>
        <w:tblLook w:firstColumn="1" w:firstRow="1" w:lastColumn="0" w:lastRow="0" w:noHBand="0" w:noVBand="1" w:val="04A0"/>
        <w:tblInd w:w="120" w:type="dxa"/>
      </w:tblPr>
      <w:tblGrid>
        <w:gridCol w:w="1500"/>
        <w:gridCol w:w="3500"/>
        <w:gridCol w:w="4360"/>
      </w:tblGrid>
      <w:tr>
        <w:trPr>
          <w:tblHeader w:val="true"/>
          <w:cantSplit/>
        </w:trPr>
        <w:tc>
          <w:tcPr>
            <w:tcW w:type="dxa" w:w="1500"/>
            <w:shd w:fill="F2F4F7"/>
            <w:vAlign w:val="center"/>
            <w:tcMar>
              <w:top w:w="80" w:type="dxa"/>
              <w:bottom w:w="80" w:type="dxa"/>
              <w:start w:w="120" w:type="dxa"/>
              <w:end w:w="120" w:type="dxa"/>
            </w:tcMar>
          </w:tcPr>
          <w:p>
            <w:pPr>
              <w:spacing w:after="0"/>
            </w:pPr>
            <w:r>
              <w:rPr>
                <w:rFonts w:ascii="Calibri" w:hAnsi="Calibri"/>
                <w:b/>
                <w:i w:val="0"/>
                <w:color w:val="0B2545"/>
                <w:sz w:val="16"/>
              </w:rPr>
              <w:t>Timing</w:t>
            </w:r>
          </w:p>
        </w:tc>
        <w:tc>
          <w:tcPr>
            <w:tcW w:type="dxa" w:w="3500"/>
            <w:shd w:fill="F2F4F7"/>
            <w:vAlign w:val="center"/>
            <w:tcMar>
              <w:top w:w="80" w:type="dxa"/>
              <w:bottom w:w="80" w:type="dxa"/>
              <w:start w:w="120" w:type="dxa"/>
              <w:end w:w="120" w:type="dxa"/>
            </w:tcMar>
          </w:tcPr>
          <w:p>
            <w:pPr>
              <w:spacing w:after="0"/>
            </w:pPr>
            <w:r>
              <w:rPr>
                <w:rFonts w:ascii="Calibri" w:hAnsi="Calibri"/>
                <w:b/>
                <w:i w:val="0"/>
                <w:color w:val="0B2545"/>
                <w:sz w:val="16"/>
              </w:rPr>
              <w:t>Owner action</w:t>
            </w:r>
          </w:p>
        </w:tc>
        <w:tc>
          <w:tcPr>
            <w:tcW w:type="dxa" w:w="4360"/>
            <w:shd w:fill="F2F4F7"/>
            <w:vAlign w:val="center"/>
            <w:tcMar>
              <w:top w:w="80" w:type="dxa"/>
              <w:bottom w:w="80" w:type="dxa"/>
              <w:start w:w="120" w:type="dxa"/>
              <w:end w:w="120" w:type="dxa"/>
            </w:tcMar>
          </w:tcPr>
          <w:p>
            <w:pPr>
              <w:spacing w:after="0"/>
            </w:pPr>
            <w:r>
              <w:rPr>
                <w:rFonts w:ascii="Calibri" w:hAnsi="Calibri"/>
                <w:b/>
                <w:i w:val="0"/>
                <w:color w:val="0B2545"/>
                <w:sz w:val="16"/>
              </w:rPr>
              <w:t>Application responsibility</w:t>
            </w:r>
          </w:p>
        </w:tc>
      </w:tr>
      <w:tr>
        <w:trPr>
          <w:cantSplit/>
        </w:trPr>
        <w:tc>
          <w:tcPr>
            <w:tcW w:type="dxa" w:w="1500"/>
            <w:vAlign w:val="center"/>
            <w:tcMar>
              <w:top w:w="80" w:type="dxa"/>
              <w:bottom w:w="80" w:type="dxa"/>
              <w:start w:w="120" w:type="dxa"/>
              <w:end w:w="120" w:type="dxa"/>
            </w:tcMar>
          </w:tcPr>
          <w:p>
            <w:pPr>
              <w:spacing w:after="0" w:line="252" w:lineRule="auto"/>
            </w:pPr>
            <w:r>
              <w:rPr>
                <w:rFonts w:ascii="Calibri" w:hAnsi="Calibri"/>
                <w:b w:val="0"/>
                <w:i w:val="0"/>
                <w:color w:val="0B2545"/>
                <w:sz w:val="16"/>
              </w:rPr>
              <w:t>Friday</w:t>
            </w:r>
          </w:p>
        </w:tc>
        <w:tc>
          <w:tcPr>
            <w:tcW w:type="dxa" w:w="3500"/>
            <w:vAlign w:val="center"/>
            <w:tcMar>
              <w:top w:w="80" w:type="dxa"/>
              <w:bottom w:w="80" w:type="dxa"/>
              <w:start w:w="120" w:type="dxa"/>
              <w:end w:w="120" w:type="dxa"/>
            </w:tcMar>
          </w:tcPr>
          <w:p>
            <w:pPr>
              <w:spacing w:after="0" w:line="252" w:lineRule="auto"/>
            </w:pPr>
            <w:r>
              <w:rPr>
                <w:rFonts w:ascii="Calibri" w:hAnsi="Calibri"/>
                <w:b w:val="0"/>
                <w:i w:val="0"/>
                <w:color w:val="0B2545"/>
                <w:sz w:val="16"/>
              </w:rPr>
              <w:t>Complete/update actual dividend receipt processing.</w:t>
            </w:r>
          </w:p>
        </w:tc>
        <w:tc>
          <w:tcPr>
            <w:tcW w:type="dxa" w:w="4360"/>
            <w:vAlign w:val="center"/>
            <w:tcMar>
              <w:top w:w="80" w:type="dxa"/>
              <w:bottom w:w="80" w:type="dxa"/>
              <w:start w:w="120" w:type="dxa"/>
              <w:end w:w="120" w:type="dxa"/>
            </w:tcMar>
          </w:tcPr>
          <w:p>
            <w:pPr>
              <w:spacing w:after="0" w:line="252" w:lineRule="auto"/>
            </w:pPr>
            <w:r>
              <w:rPr>
                <w:rFonts w:ascii="Calibri" w:hAnsi="Calibri"/>
                <w:b w:val="0"/>
                <w:i w:val="0"/>
                <w:color w:val="0B2545"/>
                <w:sz w:val="16"/>
              </w:rPr>
              <w:t>Use the Investment Activity Ledger and Income Plan reconciliation to determine actual paid amounts.</w:t>
            </w:r>
          </w:p>
        </w:tc>
      </w:tr>
      <w:tr>
        <w:trPr>
          <w:cantSplit/>
        </w:trPr>
        <w:tc>
          <w:tcPr>
            <w:tcW w:type="dxa" w:w="1500"/>
            <w:vAlign w:val="center"/>
            <w:tcMar>
              <w:top w:w="80" w:type="dxa"/>
              <w:bottom w:w="80" w:type="dxa"/>
              <w:start w:w="120" w:type="dxa"/>
              <w:end w:w="120" w:type="dxa"/>
            </w:tcMar>
          </w:tcPr>
          <w:p>
            <w:pPr>
              <w:spacing w:after="0" w:line="252" w:lineRule="auto"/>
            </w:pPr>
            <w:r>
              <w:rPr>
                <w:rFonts w:ascii="Calibri" w:hAnsi="Calibri"/>
                <w:b w:val="0"/>
                <w:i w:val="0"/>
                <w:color w:val="0B2545"/>
                <w:sz w:val="16"/>
              </w:rPr>
              <w:t>Saturday—open</w:t>
            </w:r>
          </w:p>
        </w:tc>
        <w:tc>
          <w:tcPr>
            <w:tcW w:type="dxa" w:w="3500"/>
            <w:vAlign w:val="center"/>
            <w:tcMar>
              <w:top w:w="80" w:type="dxa"/>
              <w:bottom w:w="80" w:type="dxa"/>
              <w:start w:w="120" w:type="dxa"/>
              <w:end w:w="120" w:type="dxa"/>
            </w:tcMar>
          </w:tcPr>
          <w:p>
            <w:pPr>
              <w:spacing w:after="0" w:line="252" w:lineRule="auto"/>
            </w:pPr>
            <w:r>
              <w:rPr>
                <w:rFonts w:ascii="Calibri" w:hAnsi="Calibri"/>
                <w:b w:val="0"/>
                <w:i w:val="0"/>
                <w:color w:val="0B2545"/>
                <w:sz w:val="16"/>
              </w:rPr>
              <w:t>Open the just-completed Saturday–Friday period.</w:t>
            </w:r>
          </w:p>
        </w:tc>
        <w:tc>
          <w:tcPr>
            <w:tcW w:type="dxa" w:w="4360"/>
            <w:vAlign w:val="center"/>
            <w:tcMar>
              <w:top w:w="80" w:type="dxa"/>
              <w:bottom w:w="80" w:type="dxa"/>
              <w:start w:w="120" w:type="dxa"/>
              <w:end w:w="120" w:type="dxa"/>
            </w:tcMar>
          </w:tcPr>
          <w:p>
            <w:pPr>
              <w:spacing w:after="0" w:line="252" w:lineRule="auto"/>
            </w:pPr>
            <w:r>
              <w:rPr>
                <w:rFonts w:ascii="Calibri" w:hAnsi="Calibri"/>
                <w:b w:val="0"/>
                <w:i w:val="0"/>
                <w:color w:val="0B2545"/>
                <w:sz w:val="16"/>
              </w:rPr>
              <w:t>Display incomplete source items, current projections and prior-week context.</w:t>
            </w:r>
          </w:p>
        </w:tc>
      </w:tr>
      <w:tr>
        <w:trPr>
          <w:cantSplit/>
        </w:trPr>
        <w:tc>
          <w:tcPr>
            <w:tcW w:type="dxa" w:w="1500"/>
            <w:vAlign w:val="center"/>
            <w:tcMar>
              <w:top w:w="80" w:type="dxa"/>
              <w:bottom w:w="80" w:type="dxa"/>
              <w:start w:w="120" w:type="dxa"/>
              <w:end w:w="120" w:type="dxa"/>
            </w:tcMar>
          </w:tcPr>
          <w:p>
            <w:pPr>
              <w:spacing w:after="0" w:line="252" w:lineRule="auto"/>
            </w:pPr>
            <w:r>
              <w:rPr>
                <w:rFonts w:ascii="Calibri" w:hAnsi="Calibri"/>
                <w:b w:val="0"/>
                <w:i w:val="0"/>
                <w:color w:val="0B2545"/>
                <w:sz w:val="16"/>
              </w:rPr>
              <w:t>Saturday—balances</w:t>
            </w:r>
          </w:p>
        </w:tc>
        <w:tc>
          <w:tcPr>
            <w:tcW w:type="dxa" w:w="3500"/>
            <w:vAlign w:val="center"/>
            <w:tcMar>
              <w:top w:w="80" w:type="dxa"/>
              <w:bottom w:w="80" w:type="dxa"/>
              <w:start w:w="120" w:type="dxa"/>
              <w:end w:w="120" w:type="dxa"/>
            </w:tcMar>
          </w:tcPr>
          <w:p>
            <w:pPr>
              <w:spacing w:after="0" w:line="252" w:lineRule="auto"/>
            </w:pPr>
            <w:r>
              <w:rPr>
                <w:rFonts w:ascii="Calibri" w:hAnsi="Calibri"/>
                <w:b w:val="0"/>
                <w:i w:val="0"/>
                <w:color w:val="0B2545"/>
                <w:sz w:val="16"/>
              </w:rPr>
              <w:t>Capture actual Income, Car, Health and Roth balances once where APIs are unavailable.</w:t>
            </w:r>
          </w:p>
        </w:tc>
        <w:tc>
          <w:tcPr>
            <w:tcW w:type="dxa" w:w="4360"/>
            <w:vAlign w:val="center"/>
            <w:tcMar>
              <w:top w:w="80" w:type="dxa"/>
              <w:bottom w:w="80" w:type="dxa"/>
              <w:start w:w="120" w:type="dxa"/>
              <w:end w:w="120" w:type="dxa"/>
            </w:tcMar>
          </w:tcPr>
          <w:p>
            <w:pPr>
              <w:spacing w:after="0" w:line="252" w:lineRule="auto"/>
            </w:pPr>
            <w:r>
              <w:rPr>
                <w:rFonts w:ascii="Calibri" w:hAnsi="Calibri"/>
                <w:b w:val="0"/>
                <w:i w:val="0"/>
                <w:color w:val="0B2545"/>
                <w:sz w:val="16"/>
              </w:rPr>
              <w:t>Write authoritative AccountBalanceSnapshots and reuse them on Dashboard, Trends and burndown.</w:t>
            </w:r>
          </w:p>
        </w:tc>
      </w:tr>
      <w:tr>
        <w:trPr>
          <w:cantSplit/>
        </w:trPr>
        <w:tc>
          <w:tcPr>
            <w:tcW w:type="dxa" w:w="1500"/>
            <w:vAlign w:val="center"/>
            <w:tcMar>
              <w:top w:w="80" w:type="dxa"/>
              <w:bottom w:w="80" w:type="dxa"/>
              <w:start w:w="120" w:type="dxa"/>
              <w:end w:w="120" w:type="dxa"/>
            </w:tcMar>
          </w:tcPr>
          <w:p>
            <w:pPr>
              <w:spacing w:after="0" w:line="252" w:lineRule="auto"/>
            </w:pPr>
            <w:r>
              <w:rPr>
                <w:rFonts w:ascii="Calibri" w:hAnsi="Calibri"/>
                <w:b w:val="0"/>
                <w:i w:val="0"/>
                <w:color w:val="0B2545"/>
                <w:sz w:val="16"/>
              </w:rPr>
              <w:t>Saturday—events</w:t>
            </w:r>
          </w:p>
        </w:tc>
        <w:tc>
          <w:tcPr>
            <w:tcW w:type="dxa" w:w="3500"/>
            <w:vAlign w:val="center"/>
            <w:tcMar>
              <w:top w:w="80" w:type="dxa"/>
              <w:bottom w:w="80" w:type="dxa"/>
              <w:start w:w="120" w:type="dxa"/>
              <w:end w:w="120" w:type="dxa"/>
            </w:tcMar>
          </w:tcPr>
          <w:p>
            <w:pPr>
              <w:spacing w:after="0" w:line="252" w:lineRule="auto"/>
            </w:pPr>
            <w:r>
              <w:rPr>
                <w:rFonts w:ascii="Calibri" w:hAnsi="Calibri"/>
                <w:b w:val="0"/>
                <w:i w:val="0"/>
                <w:color w:val="0B2545"/>
                <w:sz w:val="16"/>
              </w:rPr>
              <w:t>Confirm actual withdrawals, distributions and medical expenses.</w:t>
            </w:r>
          </w:p>
        </w:tc>
        <w:tc>
          <w:tcPr>
            <w:tcW w:type="dxa" w:w="4360"/>
            <w:vAlign w:val="center"/>
            <w:tcMar>
              <w:top w:w="80" w:type="dxa"/>
              <w:bottom w:w="80" w:type="dxa"/>
              <w:start w:w="120" w:type="dxa"/>
              <w:end w:w="120" w:type="dxa"/>
            </w:tcMar>
          </w:tcPr>
          <w:p>
            <w:pPr>
              <w:spacing w:after="0" w:line="252" w:lineRule="auto"/>
            </w:pPr>
            <w:r>
              <w:rPr>
                <w:rFonts w:ascii="Calibri" w:hAnsi="Calibri"/>
                <w:b w:val="0"/>
                <w:i w:val="0"/>
                <w:color w:val="0B2545"/>
                <w:sz w:val="16"/>
              </w:rPr>
              <w:t>Match them to planned events or record exceptions; preserve non-ROI classifications.</w:t>
            </w:r>
          </w:p>
        </w:tc>
      </w:tr>
      <w:tr>
        <w:trPr>
          <w:cantSplit/>
        </w:trPr>
        <w:tc>
          <w:tcPr>
            <w:tcW w:type="dxa" w:w="1500"/>
            <w:vAlign w:val="center"/>
            <w:tcMar>
              <w:top w:w="80" w:type="dxa"/>
              <w:bottom w:w="80" w:type="dxa"/>
              <w:start w:w="120" w:type="dxa"/>
              <w:end w:w="120" w:type="dxa"/>
            </w:tcMar>
          </w:tcPr>
          <w:p>
            <w:pPr>
              <w:spacing w:after="0" w:line="252" w:lineRule="auto"/>
            </w:pPr>
            <w:r>
              <w:rPr>
                <w:rFonts w:ascii="Calibri" w:hAnsi="Calibri"/>
                <w:b w:val="0"/>
                <w:i w:val="0"/>
                <w:color w:val="0B2545"/>
                <w:sz w:val="16"/>
              </w:rPr>
              <w:t>Saturday—review</w:t>
            </w:r>
          </w:p>
        </w:tc>
        <w:tc>
          <w:tcPr>
            <w:tcW w:type="dxa" w:w="3500"/>
            <w:vAlign w:val="center"/>
            <w:tcMar>
              <w:top w:w="80" w:type="dxa"/>
              <w:bottom w:w="80" w:type="dxa"/>
              <w:start w:w="120" w:type="dxa"/>
              <w:end w:w="120" w:type="dxa"/>
            </w:tcMar>
          </w:tcPr>
          <w:p>
            <w:pPr>
              <w:spacing w:after="0" w:line="252" w:lineRule="auto"/>
            </w:pPr>
            <w:r>
              <w:rPr>
                <w:rFonts w:ascii="Calibri" w:hAnsi="Calibri"/>
                <w:b w:val="0"/>
                <w:i w:val="0"/>
                <w:color w:val="0B2545"/>
                <w:sz w:val="16"/>
              </w:rPr>
              <w:t>Validate future withdrawals and planned income.</w:t>
            </w:r>
          </w:p>
        </w:tc>
        <w:tc>
          <w:tcPr>
            <w:tcW w:type="dxa" w:w="4360"/>
            <w:vAlign w:val="center"/>
            <w:tcMar>
              <w:top w:w="80" w:type="dxa"/>
              <w:bottom w:w="80" w:type="dxa"/>
              <w:start w:w="120" w:type="dxa"/>
              <w:end w:w="120" w:type="dxa"/>
            </w:tcMar>
          </w:tcPr>
          <w:p>
            <w:pPr>
              <w:spacing w:after="0" w:line="252" w:lineRule="auto"/>
            </w:pPr>
            <w:r>
              <w:rPr>
                <w:rFonts w:ascii="Calibri" w:hAnsi="Calibri"/>
                <w:b w:val="0"/>
                <w:i w:val="0"/>
                <w:color w:val="0B2545"/>
                <w:sz w:val="16"/>
              </w:rPr>
              <w:t>Recalculate through year-end, flag floor breaches and show source completeness.</w:t>
            </w:r>
          </w:p>
        </w:tc>
      </w:tr>
      <w:tr>
        <w:trPr>
          <w:cantSplit/>
        </w:trPr>
        <w:tc>
          <w:tcPr>
            <w:tcW w:type="dxa" w:w="1500"/>
            <w:vAlign w:val="center"/>
            <w:tcMar>
              <w:top w:w="80" w:type="dxa"/>
              <w:bottom w:w="80" w:type="dxa"/>
              <w:start w:w="120" w:type="dxa"/>
              <w:end w:w="120" w:type="dxa"/>
            </w:tcMar>
          </w:tcPr>
          <w:p>
            <w:pPr>
              <w:spacing w:after="0" w:line="252" w:lineRule="auto"/>
            </w:pPr>
            <w:r>
              <w:rPr>
                <w:rFonts w:ascii="Calibri" w:hAnsi="Calibri"/>
                <w:b w:val="0"/>
                <w:i w:val="0"/>
                <w:color w:val="0B2545"/>
                <w:sz w:val="16"/>
              </w:rPr>
              <w:t>Saturday—close</w:t>
            </w:r>
          </w:p>
        </w:tc>
        <w:tc>
          <w:tcPr>
            <w:tcW w:type="dxa" w:w="3500"/>
            <w:vAlign w:val="center"/>
            <w:tcMar>
              <w:top w:w="80" w:type="dxa"/>
              <w:bottom w:w="80" w:type="dxa"/>
              <w:start w:w="120" w:type="dxa"/>
              <w:end w:w="120" w:type="dxa"/>
            </w:tcMar>
          </w:tcPr>
          <w:p>
            <w:pPr>
              <w:spacing w:after="0" w:line="252" w:lineRule="auto"/>
            </w:pPr>
            <w:r>
              <w:rPr>
                <w:rFonts w:ascii="Calibri" w:hAnsi="Calibri"/>
                <w:b w:val="0"/>
                <w:i w:val="0"/>
                <w:color w:val="0B2545"/>
                <w:sz w:val="16"/>
              </w:rPr>
              <w:t>Approve the weekly close.</w:t>
            </w:r>
          </w:p>
        </w:tc>
        <w:tc>
          <w:tcPr>
            <w:tcW w:type="dxa" w:w="4360"/>
            <w:vAlign w:val="center"/>
            <w:tcMar>
              <w:top w:w="80" w:type="dxa"/>
              <w:bottom w:w="80" w:type="dxa"/>
              <w:start w:w="120" w:type="dxa"/>
              <w:end w:w="120" w:type="dxa"/>
            </w:tcMar>
          </w:tcPr>
          <w:p>
            <w:pPr>
              <w:spacing w:after="0" w:line="252" w:lineRule="auto"/>
            </w:pPr>
            <w:r>
              <w:rPr>
                <w:rFonts w:ascii="Calibri" w:hAnsi="Calibri"/>
                <w:b w:val="0"/>
                <w:i w:val="0"/>
                <w:color w:val="0B2545"/>
                <w:sz w:val="16"/>
              </w:rPr>
              <w:t>Freeze applicable plan/actual snapshots, mark the period Actual and refresh all views.</w:t>
            </w:r>
          </w:p>
        </w:tc>
      </w:tr>
      <w:tr>
        <w:trPr>
          <w:cantSplit/>
        </w:trPr>
        <w:tc>
          <w:tcPr>
            <w:tcW w:type="dxa" w:w="1500"/>
            <w:vAlign w:val="center"/>
            <w:tcMar>
              <w:top w:w="80" w:type="dxa"/>
              <w:bottom w:w="80" w:type="dxa"/>
              <w:start w:w="120" w:type="dxa"/>
              <w:end w:w="120" w:type="dxa"/>
            </w:tcMar>
          </w:tcPr>
          <w:p>
            <w:pPr>
              <w:spacing w:after="0" w:line="252" w:lineRule="auto"/>
            </w:pPr>
            <w:r>
              <w:rPr>
                <w:rFonts w:ascii="Calibri" w:hAnsi="Calibri"/>
                <w:b w:val="0"/>
                <w:i w:val="0"/>
                <w:color w:val="0B2545"/>
                <w:sz w:val="16"/>
              </w:rPr>
              <w:t>Correction</w:t>
            </w:r>
          </w:p>
        </w:tc>
        <w:tc>
          <w:tcPr>
            <w:tcW w:type="dxa" w:w="3500"/>
            <w:vAlign w:val="center"/>
            <w:tcMar>
              <w:top w:w="80" w:type="dxa"/>
              <w:bottom w:w="80" w:type="dxa"/>
              <w:start w:w="120" w:type="dxa"/>
              <w:end w:w="120" w:type="dxa"/>
            </w:tcMar>
          </w:tcPr>
          <w:p>
            <w:pPr>
              <w:spacing w:after="0" w:line="252" w:lineRule="auto"/>
            </w:pPr>
            <w:r>
              <w:rPr>
                <w:rFonts w:ascii="Calibri" w:hAnsi="Calibri"/>
                <w:b w:val="0"/>
                <w:i w:val="0"/>
                <w:color w:val="0B2545"/>
                <w:sz w:val="16"/>
              </w:rPr>
              <w:t>Correct the authoritative source fact with a reason.</w:t>
            </w:r>
          </w:p>
        </w:tc>
        <w:tc>
          <w:tcPr>
            <w:tcW w:type="dxa" w:w="4360"/>
            <w:vAlign w:val="center"/>
            <w:tcMar>
              <w:top w:w="80" w:type="dxa"/>
              <w:bottom w:w="80" w:type="dxa"/>
              <w:start w:w="120" w:type="dxa"/>
              <w:end w:w="120" w:type="dxa"/>
            </w:tcMar>
          </w:tcPr>
          <w:p>
            <w:pPr>
              <w:spacing w:after="0" w:line="252" w:lineRule="auto"/>
            </w:pPr>
            <w:r>
              <w:rPr>
                <w:rFonts w:ascii="Calibri" w:hAnsi="Calibri"/>
                <w:b w:val="0"/>
                <w:i w:val="0"/>
                <w:color w:val="0B2545"/>
                <w:sz w:val="16"/>
              </w:rPr>
              <w:t>Audit before/after values and recalculate all dependent views automatically.</w:t>
            </w:r>
          </w:p>
        </w:tc>
      </w:tr>
    </w:tbl>
    <w:p>
      <w:pPr>
        <w:spacing w:after="20"/>
      </w:pPr>
    </w:p>
    <w:p>
      <w:pPr>
        <w:pStyle w:val="Heading1"/>
      </w:pPr>
      <w:r>
        <w:t>9. Verified Legacy Defects and Required Corrections</w:t>
      </w:r>
    </w:p>
    <w:tbl>
      <w:tblPr>
        <w:tblStyle w:val="TableGrid"/>
        <w:tblW w:type="dxa" w:w="9360"/>
        <w:jc w:val="left"/>
        <w:tblLayout w:type="fixed"/>
        <w:tblLook w:firstColumn="1" w:firstRow="1" w:lastColumn="0" w:lastRow="0" w:noHBand="0" w:noVBand="1" w:val="04A0"/>
        <w:tblInd w:w="120" w:type="dxa"/>
      </w:tblPr>
      <w:tblGrid>
        <w:gridCol w:w="2450"/>
        <w:gridCol w:w="2800"/>
        <w:gridCol w:w="4110"/>
      </w:tblGrid>
      <w:tr>
        <w:trPr>
          <w:tblHeader w:val="true"/>
          <w:cantSplit/>
        </w:trPr>
        <w:tc>
          <w:tcPr>
            <w:tcW w:type="dxa" w:w="2450"/>
            <w:shd w:fill="F2F4F7"/>
            <w:vAlign w:val="center"/>
            <w:tcMar>
              <w:top w:w="80" w:type="dxa"/>
              <w:bottom w:w="80" w:type="dxa"/>
              <w:start w:w="120" w:type="dxa"/>
              <w:end w:w="120" w:type="dxa"/>
            </w:tcMar>
          </w:tcPr>
          <w:p>
            <w:pPr>
              <w:spacing w:after="0"/>
            </w:pPr>
            <w:r>
              <w:rPr>
                <w:rFonts w:ascii="Calibri" w:hAnsi="Calibri"/>
                <w:b/>
                <w:i w:val="0"/>
                <w:color w:val="0B2545"/>
                <w:sz w:val="16"/>
              </w:rPr>
              <w:t>Legacy defect</w:t>
            </w:r>
          </w:p>
        </w:tc>
        <w:tc>
          <w:tcPr>
            <w:tcW w:type="dxa" w:w="2800"/>
            <w:shd w:fill="F2F4F7"/>
            <w:vAlign w:val="center"/>
            <w:tcMar>
              <w:top w:w="80" w:type="dxa"/>
              <w:bottom w:w="80" w:type="dxa"/>
              <w:start w:w="120" w:type="dxa"/>
              <w:end w:w="120" w:type="dxa"/>
            </w:tcMar>
          </w:tcPr>
          <w:p>
            <w:pPr>
              <w:spacing w:after="0"/>
            </w:pPr>
            <w:r>
              <w:rPr>
                <w:rFonts w:ascii="Calibri" w:hAnsi="Calibri"/>
                <w:b/>
                <w:i w:val="0"/>
                <w:color w:val="0B2545"/>
                <w:sz w:val="16"/>
              </w:rPr>
              <w:t>Risk</w:t>
            </w:r>
          </w:p>
        </w:tc>
        <w:tc>
          <w:tcPr>
            <w:tcW w:type="dxa" w:w="4110"/>
            <w:shd w:fill="F2F4F7"/>
            <w:vAlign w:val="center"/>
            <w:tcMar>
              <w:top w:w="80" w:type="dxa"/>
              <w:bottom w:w="80" w:type="dxa"/>
              <w:start w:w="120" w:type="dxa"/>
              <w:end w:w="120" w:type="dxa"/>
            </w:tcMar>
          </w:tcPr>
          <w:p>
            <w:pPr>
              <w:spacing w:after="0"/>
            </w:pPr>
            <w:r>
              <w:rPr>
                <w:rFonts w:ascii="Calibri" w:hAnsi="Calibri"/>
                <w:b/>
                <w:i w:val="0"/>
                <w:color w:val="0B2545"/>
                <w:sz w:val="16"/>
              </w:rPr>
              <w:t>Target correction</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Hardcoded ROI row range</w:t>
            </w:r>
          </w:p>
        </w:tc>
        <w:tc>
          <w:tcPr>
            <w:tcW w:type="dxa" w:w="2800"/>
            <w:vAlign w:val="center"/>
            <w:tcMar>
              <w:top w:w="80" w:type="dxa"/>
              <w:bottom w:w="80" w:type="dxa"/>
              <w:start w:w="120" w:type="dxa"/>
              <w:end w:w="120" w:type="dxa"/>
            </w:tcMar>
          </w:tcPr>
          <w:p>
            <w:pPr>
              <w:spacing w:after="0" w:line="252" w:lineRule="auto"/>
            </w:pPr>
            <w:r>
              <w:rPr>
                <w:rFonts w:ascii="Calibri" w:hAnsi="Calibri"/>
                <w:b w:val="0"/>
                <w:i w:val="0"/>
                <w:color w:val="0B2545"/>
                <w:sz w:val="16"/>
              </w:rPr>
              <w:t>Misses new rows or includes the wrong week.</w:t>
            </w:r>
          </w:p>
        </w:tc>
        <w:tc>
          <w:tcPr>
            <w:tcW w:type="dxa" w:w="4110"/>
            <w:vAlign w:val="center"/>
            <w:tcMar>
              <w:top w:w="80" w:type="dxa"/>
              <w:bottom w:w="80" w:type="dxa"/>
              <w:start w:w="120" w:type="dxa"/>
              <w:end w:w="120" w:type="dxa"/>
            </w:tcMar>
          </w:tcPr>
          <w:p>
            <w:pPr>
              <w:spacing w:after="0" w:line="252" w:lineRule="auto"/>
            </w:pPr>
            <w:r>
              <w:rPr>
                <w:rFonts w:ascii="Calibri" w:hAnsi="Calibri"/>
                <w:b w:val="0"/>
                <w:i w:val="0"/>
                <w:color w:val="0B2545"/>
                <w:sz w:val="16"/>
              </w:rPr>
              <w:t>Date/type query over the permanent ledger.</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Dashboard #REF! formulas</w:t>
            </w:r>
          </w:p>
        </w:tc>
        <w:tc>
          <w:tcPr>
            <w:tcW w:type="dxa" w:w="2800"/>
            <w:vAlign w:val="center"/>
            <w:tcMar>
              <w:top w:w="80" w:type="dxa"/>
              <w:bottom w:w="80" w:type="dxa"/>
              <w:start w:w="120" w:type="dxa"/>
              <w:end w:w="120" w:type="dxa"/>
            </w:tcMar>
          </w:tcPr>
          <w:p>
            <w:pPr>
              <w:spacing w:after="0" w:line="252" w:lineRule="auto"/>
            </w:pPr>
            <w:r>
              <w:rPr>
                <w:rFonts w:ascii="Calibri" w:hAnsi="Calibri"/>
                <w:b w:val="0"/>
                <w:i w:val="0"/>
                <w:color w:val="0B2545"/>
                <w:sz w:val="16"/>
              </w:rPr>
              <w:t>Important minimum, trading and performance measures can silently fail.</w:t>
            </w:r>
          </w:p>
        </w:tc>
        <w:tc>
          <w:tcPr>
            <w:tcW w:type="dxa" w:w="4110"/>
            <w:vAlign w:val="center"/>
            <w:tcMar>
              <w:top w:w="80" w:type="dxa"/>
              <w:bottom w:w="80" w:type="dxa"/>
              <w:start w:w="120" w:type="dxa"/>
              <w:end w:w="120" w:type="dxa"/>
            </w:tcMar>
          </w:tcPr>
          <w:p>
            <w:pPr>
              <w:spacing w:after="0" w:line="252" w:lineRule="auto"/>
            </w:pPr>
            <w:r>
              <w:rPr>
                <w:rFonts w:ascii="Calibri" w:hAnsi="Calibri"/>
                <w:b w:val="0"/>
                <w:i w:val="0"/>
                <w:color w:val="0B2545"/>
                <w:sz w:val="16"/>
              </w:rPr>
              <w:t>Service calculations with automated completeness/tie-out checks.</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Day Trades mislabel</w:t>
            </w:r>
          </w:p>
        </w:tc>
        <w:tc>
          <w:tcPr>
            <w:tcW w:type="dxa" w:w="2800"/>
            <w:vAlign w:val="center"/>
            <w:tcMar>
              <w:top w:w="80" w:type="dxa"/>
              <w:bottom w:w="80" w:type="dxa"/>
              <w:start w:w="120" w:type="dxa"/>
              <w:end w:w="120" w:type="dxa"/>
            </w:tcMar>
          </w:tcPr>
          <w:p>
            <w:pPr>
              <w:spacing w:after="0" w:line="252" w:lineRule="auto"/>
            </w:pPr>
            <w:r>
              <w:rPr>
                <w:rFonts w:ascii="Calibri" w:hAnsi="Calibri"/>
                <w:b w:val="0"/>
                <w:i w:val="0"/>
                <w:color w:val="0B2545"/>
                <w:sz w:val="16"/>
              </w:rPr>
              <w:t>Combines options, lot sales and day trades into one misleading category.</w:t>
            </w:r>
          </w:p>
        </w:tc>
        <w:tc>
          <w:tcPr>
            <w:tcW w:type="dxa" w:w="4110"/>
            <w:vAlign w:val="center"/>
            <w:tcMar>
              <w:top w:w="80" w:type="dxa"/>
              <w:bottom w:w="80" w:type="dxa"/>
              <w:start w:w="120" w:type="dxa"/>
              <w:end w:w="120" w:type="dxa"/>
            </w:tcMar>
          </w:tcPr>
          <w:p>
            <w:pPr>
              <w:spacing w:after="0" w:line="252" w:lineRule="auto"/>
            </w:pPr>
            <w:r>
              <w:rPr>
                <w:rFonts w:ascii="Calibri" w:hAnsi="Calibri"/>
                <w:b w:val="0"/>
                <w:i w:val="0"/>
                <w:color w:val="0B2545"/>
                <w:sz w:val="16"/>
              </w:rPr>
              <w:t>Other Realized Investment Activity with governed component breakdown.</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Fixed current-month rows</w:t>
            </w:r>
          </w:p>
        </w:tc>
        <w:tc>
          <w:tcPr>
            <w:tcW w:type="dxa" w:w="2800"/>
            <w:vAlign w:val="center"/>
            <w:tcMar>
              <w:top w:w="80" w:type="dxa"/>
              <w:bottom w:w="80" w:type="dxa"/>
              <w:start w:w="120" w:type="dxa"/>
              <w:end w:w="120" w:type="dxa"/>
            </w:tcMar>
          </w:tcPr>
          <w:p>
            <w:pPr>
              <w:spacing w:after="0" w:line="252" w:lineRule="auto"/>
            </w:pPr>
            <w:r>
              <w:rPr>
                <w:rFonts w:ascii="Calibri" w:hAnsi="Calibri"/>
                <w:b w:val="0"/>
                <w:i w:val="0"/>
                <w:color w:val="0B2545"/>
                <w:sz w:val="16"/>
              </w:rPr>
              <w:t>Current-month percentages can point to stale or mismatched months.</w:t>
            </w:r>
          </w:p>
        </w:tc>
        <w:tc>
          <w:tcPr>
            <w:tcW w:type="dxa" w:w="4110"/>
            <w:vAlign w:val="center"/>
            <w:tcMar>
              <w:top w:w="80" w:type="dxa"/>
              <w:bottom w:w="80" w:type="dxa"/>
              <w:start w:w="120" w:type="dxa"/>
              <w:end w:w="120" w:type="dxa"/>
            </w:tcMar>
          </w:tcPr>
          <w:p>
            <w:pPr>
              <w:spacing w:after="0" w:line="252" w:lineRule="auto"/>
            </w:pPr>
            <w:r>
              <w:rPr>
                <w:rFonts w:ascii="Calibri" w:hAnsi="Calibri"/>
                <w:b w:val="0"/>
                <w:i w:val="0"/>
                <w:color w:val="0B2545"/>
                <w:sz w:val="16"/>
              </w:rPr>
              <w:t>Resolve current month from reporting date.</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Mixed average denominators</w:t>
            </w:r>
          </w:p>
        </w:tc>
        <w:tc>
          <w:tcPr>
            <w:tcW w:type="dxa" w:w="2800"/>
            <w:vAlign w:val="center"/>
            <w:tcMar>
              <w:top w:w="80" w:type="dxa"/>
              <w:bottom w:w="80" w:type="dxa"/>
              <w:start w:w="120" w:type="dxa"/>
              <w:end w:w="120" w:type="dxa"/>
            </w:tcMar>
          </w:tcPr>
          <w:p>
            <w:pPr>
              <w:spacing w:after="0" w:line="252" w:lineRule="auto"/>
            </w:pPr>
            <w:r>
              <w:rPr>
                <w:rFonts w:ascii="Calibri" w:hAnsi="Calibri"/>
                <w:b w:val="0"/>
                <w:i w:val="0"/>
                <w:color w:val="0B2545"/>
                <w:sz w:val="16"/>
              </w:rPr>
              <w:t>Future zero months depress some averages while blanks are ignored elsewhere.</w:t>
            </w:r>
          </w:p>
        </w:tc>
        <w:tc>
          <w:tcPr>
            <w:tcW w:type="dxa" w:w="4110"/>
            <w:vAlign w:val="center"/>
            <w:tcMar>
              <w:top w:w="80" w:type="dxa"/>
              <w:bottom w:w="80" w:type="dxa"/>
              <w:start w:w="120" w:type="dxa"/>
              <w:end w:w="120" w:type="dxa"/>
            </w:tcMar>
          </w:tcPr>
          <w:p>
            <w:pPr>
              <w:spacing w:after="0" w:line="252" w:lineRule="auto"/>
            </w:pPr>
            <w:r>
              <w:rPr>
                <w:rFonts w:ascii="Calibri" w:hAnsi="Calibri"/>
                <w:b w:val="0"/>
                <w:i w:val="0"/>
                <w:color w:val="0B2545"/>
                <w:sz w:val="16"/>
              </w:rPr>
              <w:t>Completed-period calendar and explicit denominator.</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Manual plan/actual coloring and counts</w:t>
            </w:r>
          </w:p>
        </w:tc>
        <w:tc>
          <w:tcPr>
            <w:tcW w:type="dxa" w:w="2800"/>
            <w:vAlign w:val="center"/>
            <w:tcMar>
              <w:top w:w="80" w:type="dxa"/>
              <w:bottom w:w="80" w:type="dxa"/>
              <w:start w:w="120" w:type="dxa"/>
              <w:end w:w="120" w:type="dxa"/>
            </w:tcMar>
          </w:tcPr>
          <w:p>
            <w:pPr>
              <w:spacing w:after="0" w:line="252" w:lineRule="auto"/>
            </w:pPr>
            <w:r>
              <w:rPr>
                <w:rFonts w:ascii="Calibri" w:hAnsi="Calibri"/>
                <w:b w:val="0"/>
                <w:i w:val="0"/>
                <w:color w:val="0B2545"/>
                <w:sz w:val="16"/>
              </w:rPr>
              <w:t>Status can be stale or inconsistent.</w:t>
            </w:r>
          </w:p>
        </w:tc>
        <w:tc>
          <w:tcPr>
            <w:tcW w:type="dxa" w:w="4110"/>
            <w:vAlign w:val="center"/>
            <w:tcMar>
              <w:top w:w="80" w:type="dxa"/>
              <w:bottom w:w="80" w:type="dxa"/>
              <w:start w:w="120" w:type="dxa"/>
              <w:end w:w="120" w:type="dxa"/>
            </w:tcMar>
          </w:tcPr>
          <w:p>
            <w:pPr>
              <w:spacing w:after="0" w:line="252" w:lineRule="auto"/>
            </w:pPr>
            <w:r>
              <w:rPr>
                <w:rFonts w:ascii="Calibri" w:hAnsi="Calibri"/>
                <w:b w:val="0"/>
                <w:i w:val="0"/>
                <w:color w:val="0B2545"/>
                <w:sz w:val="16"/>
              </w:rPr>
              <w:t>Period status drives presentation automatically.</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Plan overwritten</w:t>
            </w:r>
          </w:p>
        </w:tc>
        <w:tc>
          <w:tcPr>
            <w:tcW w:type="dxa" w:w="2800"/>
            <w:vAlign w:val="center"/>
            <w:tcMar>
              <w:top w:w="80" w:type="dxa"/>
              <w:bottom w:w="80" w:type="dxa"/>
              <w:start w:w="120" w:type="dxa"/>
              <w:end w:w="120" w:type="dxa"/>
            </w:tcMar>
          </w:tcPr>
          <w:p>
            <w:pPr>
              <w:spacing w:after="0" w:line="252" w:lineRule="auto"/>
            </w:pPr>
            <w:r>
              <w:rPr>
                <w:rFonts w:ascii="Calibri" w:hAnsi="Calibri"/>
                <w:b w:val="0"/>
                <w:i w:val="0"/>
                <w:color w:val="0B2545"/>
                <w:sz w:val="16"/>
              </w:rPr>
              <w:t>Cannot reproduce what was expected at the time.</w:t>
            </w:r>
          </w:p>
        </w:tc>
        <w:tc>
          <w:tcPr>
            <w:tcW w:type="dxa" w:w="4110"/>
            <w:vAlign w:val="center"/>
            <w:tcMar>
              <w:top w:w="80" w:type="dxa"/>
              <w:bottom w:w="80" w:type="dxa"/>
              <w:start w:w="120" w:type="dxa"/>
              <w:end w:w="120" w:type="dxa"/>
            </w:tcMar>
          </w:tcPr>
          <w:p>
            <w:pPr>
              <w:spacing w:after="0" w:line="252" w:lineRule="auto"/>
            </w:pPr>
            <w:r>
              <w:rPr>
                <w:rFonts w:ascii="Calibri" w:hAnsi="Calibri"/>
                <w:b w:val="0"/>
                <w:i w:val="0"/>
                <w:color w:val="0B2545"/>
                <w:sz w:val="16"/>
              </w:rPr>
              <w:t>Immutable, versioned PlanSnapshot.</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Actual ending balances typed over formulas</w:t>
            </w:r>
          </w:p>
        </w:tc>
        <w:tc>
          <w:tcPr>
            <w:tcW w:type="dxa" w:w="2800"/>
            <w:vAlign w:val="center"/>
            <w:tcMar>
              <w:top w:w="80" w:type="dxa"/>
              <w:bottom w:w="80" w:type="dxa"/>
              <w:start w:w="120" w:type="dxa"/>
              <w:end w:w="120" w:type="dxa"/>
            </w:tcMar>
          </w:tcPr>
          <w:p>
            <w:pPr>
              <w:spacing w:after="0" w:line="252" w:lineRule="auto"/>
            </w:pPr>
            <w:r>
              <w:rPr>
                <w:rFonts w:ascii="Calibri" w:hAnsi="Calibri"/>
                <w:b w:val="0"/>
                <w:i w:val="0"/>
                <w:color w:val="0B2545"/>
                <w:sz w:val="16"/>
              </w:rPr>
              <w:t>Projection lineage and variance are lost.</w:t>
            </w:r>
          </w:p>
        </w:tc>
        <w:tc>
          <w:tcPr>
            <w:tcW w:type="dxa" w:w="4110"/>
            <w:vAlign w:val="center"/>
            <w:tcMar>
              <w:top w:w="80" w:type="dxa"/>
              <w:bottom w:w="80" w:type="dxa"/>
              <w:start w:w="120" w:type="dxa"/>
              <w:end w:w="120" w:type="dxa"/>
            </w:tcMar>
          </w:tcPr>
          <w:p>
            <w:pPr>
              <w:spacing w:after="0" w:line="252" w:lineRule="auto"/>
            </w:pPr>
            <w:r>
              <w:rPr>
                <w:rFonts w:ascii="Calibri" w:hAnsi="Calibri"/>
                <w:b w:val="0"/>
                <w:i w:val="0"/>
                <w:color w:val="0B2545"/>
                <w:sz w:val="16"/>
              </w:rPr>
              <w:t>Keep projected and actual balances as separate fields.</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Four-week manual limit</w:t>
            </w:r>
          </w:p>
        </w:tc>
        <w:tc>
          <w:tcPr>
            <w:tcW w:type="dxa" w:w="2800"/>
            <w:vAlign w:val="center"/>
            <w:tcMar>
              <w:top w:w="80" w:type="dxa"/>
              <w:bottom w:w="80" w:type="dxa"/>
              <w:start w:w="120" w:type="dxa"/>
              <w:end w:w="120" w:type="dxa"/>
            </w:tcMar>
          </w:tcPr>
          <w:p>
            <w:pPr>
              <w:spacing w:after="0" w:line="252" w:lineRule="auto"/>
            </w:pPr>
            <w:r>
              <w:rPr>
                <w:rFonts w:ascii="Calibri" w:hAnsi="Calibri"/>
                <w:b w:val="0"/>
                <w:i w:val="0"/>
                <w:color w:val="0B2545"/>
                <w:sz w:val="16"/>
              </w:rPr>
              <w:t>Cannot see later year-end shortfalls.</w:t>
            </w:r>
          </w:p>
        </w:tc>
        <w:tc>
          <w:tcPr>
            <w:tcW w:type="dxa" w:w="4110"/>
            <w:vAlign w:val="center"/>
            <w:tcMar>
              <w:top w:w="80" w:type="dxa"/>
              <w:bottom w:w="80" w:type="dxa"/>
              <w:start w:w="120" w:type="dxa"/>
              <w:end w:w="120" w:type="dxa"/>
            </w:tcMar>
          </w:tcPr>
          <w:p>
            <w:pPr>
              <w:spacing w:after="0" w:line="252" w:lineRule="auto"/>
            </w:pPr>
            <w:r>
              <w:rPr>
                <w:rFonts w:ascii="Calibri" w:hAnsi="Calibri"/>
                <w:b w:val="0"/>
                <w:i w:val="0"/>
                <w:color w:val="0B2545"/>
                <w:sz w:val="16"/>
              </w:rPr>
              <w:t>Continuous projection through year-end with adjustable horizon.</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6"/>
              </w:rPr>
              <w:t>Duplicate entry across tabs</w:t>
            </w:r>
          </w:p>
        </w:tc>
        <w:tc>
          <w:tcPr>
            <w:tcW w:type="dxa" w:w="2800"/>
            <w:vAlign w:val="center"/>
            <w:tcMar>
              <w:top w:w="80" w:type="dxa"/>
              <w:bottom w:w="80" w:type="dxa"/>
              <w:start w:w="120" w:type="dxa"/>
              <w:end w:w="120" w:type="dxa"/>
            </w:tcMar>
          </w:tcPr>
          <w:p>
            <w:pPr>
              <w:spacing w:after="0" w:line="252" w:lineRule="auto"/>
            </w:pPr>
            <w:r>
              <w:rPr>
                <w:rFonts w:ascii="Calibri" w:hAnsi="Calibri"/>
                <w:b w:val="0"/>
                <w:i w:val="0"/>
                <w:color w:val="0B2545"/>
                <w:sz w:val="16"/>
              </w:rPr>
              <w:t>Manual effort and conflicting values.</w:t>
            </w:r>
          </w:p>
        </w:tc>
        <w:tc>
          <w:tcPr>
            <w:tcW w:type="dxa" w:w="4110"/>
            <w:vAlign w:val="center"/>
            <w:tcMar>
              <w:top w:w="80" w:type="dxa"/>
              <w:bottom w:w="80" w:type="dxa"/>
              <w:start w:w="120" w:type="dxa"/>
              <w:end w:w="120" w:type="dxa"/>
            </w:tcMar>
          </w:tcPr>
          <w:p>
            <w:pPr>
              <w:spacing w:after="0" w:line="252" w:lineRule="auto"/>
            </w:pPr>
            <w:r>
              <w:rPr>
                <w:rFonts w:ascii="Calibri" w:hAnsi="Calibri"/>
                <w:b w:val="0"/>
                <w:i w:val="0"/>
                <w:color w:val="0B2545"/>
                <w:sz w:val="16"/>
              </w:rPr>
              <w:t>Capture once into canonical entities; all tabs become views.</w:t>
            </w:r>
          </w:p>
        </w:tc>
      </w:tr>
    </w:tbl>
    <w:p>
      <w:pPr>
        <w:spacing w:after="20"/>
      </w:pPr>
    </w:p>
    <w:p>
      <w:pPr>
        <w:pStyle w:val="Heading1"/>
      </w:pPr>
      <w:r>
        <w:t>10. Target Data Model</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F2F4F7"/>
            <w:vAlign w:val="center"/>
            <w:tcMar>
              <w:top w:w="80" w:type="dxa"/>
              <w:bottom w:w="80" w:type="dxa"/>
              <w:start w:w="120" w:type="dxa"/>
              <w:end w:w="120" w:type="dxa"/>
            </w:tcMar>
          </w:tcPr>
          <w:p>
            <w:pPr>
              <w:spacing w:after="0"/>
            </w:pPr>
            <w:r>
              <w:rPr>
                <w:rFonts w:ascii="Calibri" w:hAnsi="Calibri"/>
                <w:b/>
                <w:i w:val="0"/>
                <w:color w:val="0B2545"/>
                <w:sz w:val="16"/>
              </w:rPr>
              <w:t>Entity / view</w:t>
            </w:r>
          </w:p>
        </w:tc>
        <w:tc>
          <w:tcPr>
            <w:tcW w:type="dxa" w:w="6860"/>
            <w:shd w:fill="F2F4F7"/>
            <w:vAlign w:val="center"/>
            <w:tcMar>
              <w:top w:w="80" w:type="dxa"/>
              <w:bottom w:w="80" w:type="dxa"/>
              <w:start w:w="120" w:type="dxa"/>
              <w:end w:w="120" w:type="dxa"/>
            </w:tcMar>
          </w:tcPr>
          <w:p>
            <w:pPr>
              <w:spacing w:after="0"/>
            </w:pPr>
            <w:r>
              <w:rPr>
                <w:rFonts w:ascii="Calibri" w:hAnsi="Calibri"/>
                <w:b/>
                <w:i w:val="0"/>
                <w:color w:val="0B2545"/>
                <w:sz w:val="16"/>
              </w:rPr>
              <w:t>Required fields and responsibility</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WeeklyFinancialPeriod</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period_id; Saturday period_start; Friday period_end; Saturday capture date/time; Plan/Actual/Closed status; close and correction audit.</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AccountBalanceSnapshot</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account_id; period_id; represented_at; captured_at; total balance; cash balance where applicable; source method; user/process; correction lineage.</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AccountSafetyFloor</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account_id; floor amount; warning bands; effective dates; owner approval; active flag.</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PlanSnapshot</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plan version; effective/captured date; period/month; account; symbol/position lineage; planned payment and normalized monthly/weekly amounts.</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PlannedCashFlowEvent</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event id; account; event type; planned date; planned amount; recurrence/source; status; linked actual transaction; cancellation/revision history.</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NonROITransaction</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actual distributions, withdrawals, medical expenses and other defined non-ROI events; event date; account; gross/net/components; tax and HSA treatment; audit.</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InvestmentActivityLedger</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Canonical realized investment events and activity type. Supplies current-week, monthly, YTD and prior-year performance.</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HouseholdBudgetAssumption</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living-expense amount; federal/state tax requirement; effective dates; period basis; owner source/approval.</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IncomeCoverageView</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SSA; account income; required investment income; medical/reinvest goals; gross/net income; surplus/shortfall by week, month and year.</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AccountBurndownProjection</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account; period; start; planned income; planned outflow; projected end; actual end; variance; floor; headroom; breach status; contributing events.</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RealizedPerformanceView</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period; dividend amount; each other realized category; total; plan; prior period/year; normalized weekly value; requirement variance.</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DashboardDataQualityView</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missing inputs; stale balances; unmatched planned events; incomplete ROI loads; failed tie-outs; open corrections; model status.</w:t>
            </w:r>
          </w:p>
        </w:tc>
      </w:tr>
      <w:tr>
        <w:trPr>
          <w:cantSplit/>
        </w:trPr>
        <w:tc>
          <w:tcPr>
            <w:tcW w:type="dxa" w:w="2500"/>
            <w:vAlign w:val="center"/>
            <w:tcMar>
              <w:top w:w="80" w:type="dxa"/>
              <w:bottom w:w="80" w:type="dxa"/>
              <w:start w:w="120" w:type="dxa"/>
              <w:end w:w="120" w:type="dxa"/>
            </w:tcMar>
          </w:tcPr>
          <w:p>
            <w:pPr>
              <w:spacing w:after="0" w:line="252" w:lineRule="auto"/>
            </w:pPr>
            <w:r>
              <w:rPr>
                <w:rFonts w:ascii="Calibri" w:hAnsi="Calibri"/>
                <w:b w:val="0"/>
                <w:i w:val="0"/>
                <w:color w:val="0B2545"/>
                <w:sz w:val="16"/>
              </w:rPr>
              <w:t>AuditLog</w:t>
            </w:r>
          </w:p>
        </w:tc>
        <w:tc>
          <w:tcPr>
            <w:tcW w:type="dxa" w:w="6860"/>
            <w:vAlign w:val="center"/>
            <w:tcMar>
              <w:top w:w="80" w:type="dxa"/>
              <w:bottom w:w="80" w:type="dxa"/>
              <w:start w:w="120" w:type="dxa"/>
              <w:end w:w="120" w:type="dxa"/>
            </w:tcMar>
          </w:tcPr>
          <w:p>
            <w:pPr>
              <w:spacing w:after="0" w:line="252" w:lineRule="auto"/>
            </w:pPr>
            <w:r>
              <w:rPr>
                <w:rFonts w:ascii="Calibri" w:hAnsi="Calibri"/>
                <w:b w:val="0"/>
                <w:i w:val="0"/>
                <w:color w:val="0B2545"/>
                <w:sz w:val="16"/>
              </w:rPr>
              <w:t>actor/process; time; action; entity/id; before/after; reason; approval; automated/manual indicator; correlation id.</w:t>
            </w:r>
          </w:p>
        </w:tc>
      </w:tr>
    </w:tbl>
    <w:p>
      <w:pPr>
        <w:spacing w:after="20"/>
      </w:pPr>
    </w:p>
    <w:p>
      <w:pPr>
        <w:pStyle w:val="Heading1"/>
      </w:pPr>
      <w:r>
        <w:t>11. Functional Requirements</w:t>
      </w:r>
    </w:p>
    <w:p>
      <w:pPr>
        <w:pStyle w:val="ListBullet"/>
      </w:pPr>
      <w:r>
        <w:rPr>
          <w:rFonts w:ascii="Calibri" w:hAnsi="Calibri"/>
          <w:b w:val="0"/>
          <w:i w:val="0"/>
          <w:color w:val="0B2545"/>
          <w:sz w:val="22"/>
        </w:rPr>
        <w:t>DB-FR-01 — Display current-week and monthly realized performance directly from the Investment Activity Ledger with drill-through lineage.</w:t>
      </w:r>
    </w:p>
    <w:p>
      <w:pPr>
        <w:pStyle w:val="ListBullet"/>
      </w:pPr>
      <w:r>
        <w:rPr>
          <w:rFonts w:ascii="Calibri" w:hAnsi="Calibri"/>
          <w:b w:val="0"/>
          <w:i w:val="0"/>
          <w:color w:val="0B2545"/>
          <w:sz w:val="22"/>
        </w:rPr>
        <w:t>DB-FR-02 — Separate dividends, covered calls, cash-secured puts, lot-sale P/L and day-trade P/L; never label their combined remainder Day Trades.</w:t>
      </w:r>
    </w:p>
    <w:p>
      <w:pPr>
        <w:pStyle w:val="ListBullet"/>
      </w:pPr>
      <w:r>
        <w:rPr>
          <w:rFonts w:ascii="Calibri" w:hAnsi="Calibri"/>
          <w:b w:val="0"/>
          <w:i w:val="0"/>
          <w:color w:val="0B2545"/>
          <w:sz w:val="22"/>
        </w:rPr>
        <w:t>DB-FR-03 — Compare actual results with the preserved plan applicable to that period and with the same prior-year calendar period.</w:t>
      </w:r>
    </w:p>
    <w:p>
      <w:pPr>
        <w:pStyle w:val="ListBullet"/>
      </w:pPr>
      <w:r>
        <w:rPr>
          <w:rFonts w:ascii="Calibri" w:hAnsi="Calibri"/>
          <w:b w:val="0"/>
          <w:i w:val="0"/>
          <w:color w:val="0B2545"/>
          <w:sz w:val="22"/>
        </w:rPr>
        <w:t>DB-FR-04 — Calculate household required investment income as living expenses plus taxes minus Social Security; report medical and reinvestment goals separately.</w:t>
      </w:r>
    </w:p>
    <w:p>
      <w:pPr>
        <w:pStyle w:val="ListBullet"/>
      </w:pPr>
      <w:r>
        <w:rPr>
          <w:rFonts w:ascii="Calibri" w:hAnsi="Calibri"/>
          <w:b w:val="0"/>
          <w:i w:val="0"/>
          <w:color w:val="0B2545"/>
          <w:sz w:val="22"/>
        </w:rPr>
        <w:t>DB-FR-05 — Display Income, Car, Health and Roth burndowns from actual balance snapshots and dated planned/actual cash-flow events.</w:t>
      </w:r>
    </w:p>
    <w:p>
      <w:pPr>
        <w:pStyle w:val="ListBullet"/>
      </w:pPr>
      <w:r>
        <w:rPr>
          <w:rFonts w:ascii="Calibri" w:hAnsi="Calibri"/>
          <w:b w:val="0"/>
          <w:i w:val="0"/>
          <w:color w:val="0B2545"/>
          <w:sz w:val="22"/>
        </w:rPr>
        <w:t>DB-FR-06 — Project every burndown through year-end and warn before a configured floor breach.</w:t>
      </w:r>
    </w:p>
    <w:p>
      <w:pPr>
        <w:pStyle w:val="ListBullet"/>
      </w:pPr>
      <w:r>
        <w:rPr>
          <w:rFonts w:ascii="Calibri" w:hAnsi="Calibri"/>
          <w:b w:val="0"/>
          <w:i w:val="0"/>
          <w:color w:val="0B2545"/>
          <w:sz w:val="22"/>
        </w:rPr>
        <w:t>DB-FR-07 — Keep the current week Planned until Saturday close, then freeze actual balances/events and retain plan-versus-actual variance.</w:t>
      </w:r>
    </w:p>
    <w:p>
      <w:pPr>
        <w:pStyle w:val="ListBullet"/>
      </w:pPr>
      <w:r>
        <w:rPr>
          <w:rFonts w:ascii="Calibri" w:hAnsi="Calibri"/>
          <w:b w:val="0"/>
          <w:i w:val="0"/>
          <w:color w:val="0B2545"/>
          <w:sz w:val="22"/>
        </w:rPr>
        <w:t>DB-FR-08 — Calculate monthly, normalized-weekly and annual values from one governed definition and label each basis accurately.</w:t>
      </w:r>
    </w:p>
    <w:p>
      <w:pPr>
        <w:pStyle w:val="ListBullet"/>
      </w:pPr>
      <w:r>
        <w:rPr>
          <w:rFonts w:ascii="Calibri" w:hAnsi="Calibri"/>
          <w:b w:val="0"/>
          <w:i w:val="0"/>
          <w:color w:val="0B2545"/>
          <w:sz w:val="22"/>
        </w:rPr>
        <w:t>DB-FR-09 — Provide current, YTD and historical views without hardcoded calendar rows or year-specific worksheet structures.</w:t>
      </w:r>
    </w:p>
    <w:p>
      <w:pPr>
        <w:pStyle w:val="ListBullet"/>
      </w:pPr>
      <w:r>
        <w:rPr>
          <w:rFonts w:ascii="Calibri" w:hAnsi="Calibri"/>
          <w:b w:val="0"/>
          <w:i w:val="0"/>
          <w:color w:val="0B2545"/>
          <w:sz w:val="22"/>
        </w:rPr>
        <w:t>DB-FR-10 — Recalculate every dependent display after a source correction without duplicate user entry.</w:t>
      </w:r>
    </w:p>
    <w:p>
      <w:pPr>
        <w:pStyle w:val="ListBullet"/>
      </w:pPr>
      <w:r>
        <w:rPr>
          <w:rFonts w:ascii="Calibri" w:hAnsi="Calibri"/>
          <w:b w:val="0"/>
          <w:i w:val="0"/>
          <w:color w:val="0B2545"/>
          <w:sz w:val="22"/>
        </w:rPr>
        <w:t>DB-FR-11 — Expose missing/stale data and failed reconciliations; never present an incomplete figure as complete.</w:t>
      </w:r>
    </w:p>
    <w:p>
      <w:pPr>
        <w:pStyle w:val="ListBullet"/>
      </w:pPr>
      <w:r>
        <w:rPr>
          <w:rFonts w:ascii="Calibri" w:hAnsi="Calibri"/>
          <w:b w:val="0"/>
          <w:i w:val="0"/>
          <w:color w:val="0B2545"/>
          <w:sz w:val="22"/>
        </w:rPr>
        <w:t>DB-FR-12 — Preserve complete audit history for plan revisions, actual close, corrections and automated actions.</w:t>
      </w:r>
    </w:p>
    <w:p>
      <w:pPr>
        <w:pStyle w:val="Heading1"/>
      </w:pPr>
      <w:r>
        <w:t>12. Cross-Tab and Service Dependencies</w:t>
      </w:r>
    </w:p>
    <w:tbl>
      <w:tblPr>
        <w:tblStyle w:val="TableGrid"/>
        <w:tblW w:type="dxa" w:w="9360"/>
        <w:jc w:val="left"/>
        <w:tblLayout w:type="fixed"/>
        <w:tblLook w:firstColumn="1" w:firstRow="1" w:lastColumn="0" w:lastRow="0" w:noHBand="0" w:noVBand="1" w:val="04A0"/>
        <w:tblInd w:w="120" w:type="dxa"/>
      </w:tblPr>
      <w:tblGrid>
        <w:gridCol w:w="2550"/>
        <w:gridCol w:w="6810"/>
      </w:tblGrid>
      <w:tr>
        <w:trPr>
          <w:tblHeader w:val="true"/>
          <w:cantSplit/>
        </w:trPr>
        <w:tc>
          <w:tcPr>
            <w:tcW w:type="dxa" w:w="2550"/>
            <w:shd w:fill="F2F4F7"/>
            <w:vAlign w:val="center"/>
            <w:tcMar>
              <w:top w:w="80" w:type="dxa"/>
              <w:bottom w:w="80" w:type="dxa"/>
              <w:start w:w="120" w:type="dxa"/>
              <w:end w:w="120" w:type="dxa"/>
            </w:tcMar>
          </w:tcPr>
          <w:p>
            <w:pPr>
              <w:spacing w:after="0"/>
            </w:pPr>
            <w:r>
              <w:rPr>
                <w:rFonts w:ascii="Calibri" w:hAnsi="Calibri"/>
                <w:b/>
                <w:i w:val="0"/>
                <w:color w:val="0B2545"/>
                <w:sz w:val="17"/>
              </w:rPr>
              <w:t>Source/service</w:t>
            </w:r>
          </w:p>
        </w:tc>
        <w:tc>
          <w:tcPr>
            <w:tcW w:type="dxa" w:w="6810"/>
            <w:shd w:fill="F2F4F7"/>
            <w:vAlign w:val="center"/>
            <w:tcMar>
              <w:top w:w="80" w:type="dxa"/>
              <w:bottom w:w="80" w:type="dxa"/>
              <w:start w:w="120" w:type="dxa"/>
              <w:end w:w="120" w:type="dxa"/>
            </w:tcMar>
          </w:tcPr>
          <w:p>
            <w:pPr>
              <w:spacing w:after="0"/>
            </w:pPr>
            <w:r>
              <w:rPr>
                <w:rFonts w:ascii="Calibri" w:hAnsi="Calibri"/>
                <w:b/>
                <w:i w:val="0"/>
                <w:color w:val="0B2545"/>
                <w:sz w:val="17"/>
              </w:rPr>
              <w:t>Dashboard dependency</w:t>
            </w:r>
          </w:p>
        </w:tc>
      </w:tr>
      <w:tr>
        <w:trPr>
          <w:cantSplit/>
        </w:trPr>
        <w:tc>
          <w:tcPr>
            <w:tcW w:type="dxa" w:w="2550"/>
            <w:vAlign w:val="center"/>
            <w:tcMar>
              <w:top w:w="80" w:type="dxa"/>
              <w:bottom w:w="80" w:type="dxa"/>
              <w:start w:w="120" w:type="dxa"/>
              <w:end w:w="120" w:type="dxa"/>
            </w:tcMar>
          </w:tcPr>
          <w:p>
            <w:pPr>
              <w:spacing w:after="0" w:line="252" w:lineRule="auto"/>
            </w:pPr>
            <w:r>
              <w:rPr>
                <w:rFonts w:ascii="Calibri" w:hAnsi="Calibri"/>
                <w:b w:val="0"/>
                <w:i w:val="0"/>
                <w:color w:val="0B2545"/>
                <w:sz w:val="17"/>
              </w:rPr>
              <w:t>Accounts</w:t>
            </w:r>
          </w:p>
        </w:tc>
        <w:tc>
          <w:tcPr>
            <w:tcW w:type="dxa" w:w="6810"/>
            <w:vAlign w:val="center"/>
            <w:tcMar>
              <w:top w:w="80" w:type="dxa"/>
              <w:bottom w:w="80" w:type="dxa"/>
              <w:start w:w="120" w:type="dxa"/>
              <w:end w:w="120" w:type="dxa"/>
            </w:tcMar>
          </w:tcPr>
          <w:p>
            <w:pPr>
              <w:spacing w:after="0" w:line="252" w:lineRule="auto"/>
            </w:pPr>
            <w:r>
              <w:rPr>
                <w:rFonts w:ascii="Calibri" w:hAnsi="Calibri"/>
                <w:b w:val="0"/>
                <w:i w:val="0"/>
                <w:color w:val="0B2545"/>
                <w:sz w:val="17"/>
              </w:rPr>
              <w:t>Canonical account identity, type, purpose, tax treatment and active dates.</w:t>
            </w:r>
          </w:p>
        </w:tc>
      </w:tr>
      <w:tr>
        <w:trPr>
          <w:cantSplit/>
        </w:trPr>
        <w:tc>
          <w:tcPr>
            <w:tcW w:type="dxa" w:w="2550"/>
            <w:vAlign w:val="center"/>
            <w:tcMar>
              <w:top w:w="80" w:type="dxa"/>
              <w:bottom w:w="80" w:type="dxa"/>
              <w:start w:w="120" w:type="dxa"/>
              <w:end w:w="120" w:type="dxa"/>
            </w:tcMar>
          </w:tcPr>
          <w:p>
            <w:pPr>
              <w:spacing w:after="0" w:line="252" w:lineRule="auto"/>
            </w:pPr>
            <w:r>
              <w:rPr>
                <w:rFonts w:ascii="Calibri" w:hAnsi="Calibri"/>
                <w:b w:val="0"/>
                <w:i w:val="0"/>
                <w:color w:val="0B2545"/>
                <w:sz w:val="17"/>
              </w:rPr>
              <w:t>Holdings / Position Details</w:t>
            </w:r>
          </w:p>
        </w:tc>
        <w:tc>
          <w:tcPr>
            <w:tcW w:type="dxa" w:w="6810"/>
            <w:vAlign w:val="center"/>
            <w:tcMar>
              <w:top w:w="80" w:type="dxa"/>
              <w:bottom w:w="80" w:type="dxa"/>
              <w:start w:w="120" w:type="dxa"/>
              <w:end w:w="120" w:type="dxa"/>
            </w:tcMar>
          </w:tcPr>
          <w:p>
            <w:pPr>
              <w:spacing w:after="0" w:line="252" w:lineRule="auto"/>
            </w:pPr>
            <w:r>
              <w:rPr>
                <w:rFonts w:ascii="Calibri" w:hAnsi="Calibri"/>
                <w:b w:val="0"/>
                <w:i w:val="0"/>
                <w:color w:val="0B2545"/>
                <w:sz w:val="17"/>
              </w:rPr>
              <w:t>Lot/position quantities, market values, account assignments and position classifications.</w:t>
            </w:r>
          </w:p>
        </w:tc>
      </w:tr>
      <w:tr>
        <w:trPr>
          <w:cantSplit/>
        </w:trPr>
        <w:tc>
          <w:tcPr>
            <w:tcW w:type="dxa" w:w="2550"/>
            <w:vAlign w:val="center"/>
            <w:tcMar>
              <w:top w:w="80" w:type="dxa"/>
              <w:bottom w:w="80" w:type="dxa"/>
              <w:start w:w="120" w:type="dxa"/>
              <w:end w:w="120" w:type="dxa"/>
            </w:tcMar>
          </w:tcPr>
          <w:p>
            <w:pPr>
              <w:spacing w:after="0" w:line="252" w:lineRule="auto"/>
            </w:pPr>
            <w:r>
              <w:rPr>
                <w:rFonts w:ascii="Calibri" w:hAnsi="Calibri"/>
                <w:b w:val="0"/>
                <w:i w:val="0"/>
                <w:color w:val="0B2545"/>
                <w:sz w:val="17"/>
              </w:rPr>
              <w:t>Calculator</w:t>
            </w:r>
          </w:p>
        </w:tc>
        <w:tc>
          <w:tcPr>
            <w:tcW w:type="dxa" w:w="6810"/>
            <w:vAlign w:val="center"/>
            <w:tcMar>
              <w:top w:w="80" w:type="dxa"/>
              <w:bottom w:w="80" w:type="dxa"/>
              <w:start w:w="120" w:type="dxa"/>
              <w:end w:w="120" w:type="dxa"/>
            </w:tcMar>
          </w:tcPr>
          <w:p>
            <w:pPr>
              <w:spacing w:after="0" w:line="252" w:lineRule="auto"/>
            </w:pPr>
            <w:r>
              <w:rPr>
                <w:rFonts w:ascii="Calibri" w:hAnsi="Calibri"/>
                <w:b w:val="0"/>
                <w:i w:val="0"/>
                <w:color w:val="0B2545"/>
                <w:sz w:val="17"/>
              </w:rPr>
              <w:t>Approved per-share plan and declaration-change process.</w:t>
            </w:r>
          </w:p>
        </w:tc>
      </w:tr>
      <w:tr>
        <w:trPr>
          <w:cantSplit/>
        </w:trPr>
        <w:tc>
          <w:tcPr>
            <w:tcW w:type="dxa" w:w="2550"/>
            <w:vAlign w:val="center"/>
            <w:tcMar>
              <w:top w:w="80" w:type="dxa"/>
              <w:bottom w:w="80" w:type="dxa"/>
              <w:start w:w="120" w:type="dxa"/>
              <w:end w:w="120" w:type="dxa"/>
            </w:tcMar>
          </w:tcPr>
          <w:p>
            <w:pPr>
              <w:spacing w:after="0" w:line="252" w:lineRule="auto"/>
            </w:pPr>
            <w:r>
              <w:rPr>
                <w:rFonts w:ascii="Calibri" w:hAnsi="Calibri"/>
                <w:b w:val="0"/>
                <w:i w:val="0"/>
                <w:color w:val="0B2545"/>
                <w:sz w:val="17"/>
              </w:rPr>
              <w:t>Income Plan</w:t>
            </w:r>
          </w:p>
        </w:tc>
        <w:tc>
          <w:tcPr>
            <w:tcW w:type="dxa" w:w="6810"/>
            <w:vAlign w:val="center"/>
            <w:tcMar>
              <w:top w:w="80" w:type="dxa"/>
              <w:bottom w:w="80" w:type="dxa"/>
              <w:start w:w="120" w:type="dxa"/>
              <w:end w:w="120" w:type="dxa"/>
            </w:tcMar>
          </w:tcPr>
          <w:p>
            <w:pPr>
              <w:spacing w:after="0" w:line="252" w:lineRule="auto"/>
            </w:pPr>
            <w:r>
              <w:rPr>
                <w:rFonts w:ascii="Calibri" w:hAnsi="Calibri"/>
                <w:b w:val="0"/>
                <w:i w:val="0"/>
                <w:color w:val="0B2545"/>
                <w:sz w:val="17"/>
              </w:rPr>
              <w:t>Preserved planned payments and reconciled actual dividends by account/week.</w:t>
            </w:r>
          </w:p>
        </w:tc>
      </w:tr>
      <w:tr>
        <w:trPr>
          <w:cantSplit/>
        </w:trPr>
        <w:tc>
          <w:tcPr>
            <w:tcW w:type="dxa" w:w="2550"/>
            <w:vAlign w:val="center"/>
            <w:tcMar>
              <w:top w:w="80" w:type="dxa"/>
              <w:bottom w:w="80" w:type="dxa"/>
              <w:start w:w="120" w:type="dxa"/>
              <w:end w:w="120" w:type="dxa"/>
            </w:tcMar>
          </w:tcPr>
          <w:p>
            <w:pPr>
              <w:spacing w:after="0" w:line="252" w:lineRule="auto"/>
            </w:pPr>
            <w:r>
              <w:rPr>
                <w:rFonts w:ascii="Calibri" w:hAnsi="Calibri"/>
                <w:b w:val="0"/>
                <w:i w:val="0"/>
                <w:color w:val="0B2545"/>
                <w:sz w:val="17"/>
              </w:rPr>
              <w:t>Investment Activity Ledger</w:t>
            </w:r>
          </w:p>
        </w:tc>
        <w:tc>
          <w:tcPr>
            <w:tcW w:type="dxa" w:w="6810"/>
            <w:vAlign w:val="center"/>
            <w:tcMar>
              <w:top w:w="80" w:type="dxa"/>
              <w:bottom w:w="80" w:type="dxa"/>
              <w:start w:w="120" w:type="dxa"/>
              <w:end w:w="120" w:type="dxa"/>
            </w:tcMar>
          </w:tcPr>
          <w:p>
            <w:pPr>
              <w:spacing w:after="0" w:line="252" w:lineRule="auto"/>
            </w:pPr>
            <w:r>
              <w:rPr>
                <w:rFonts w:ascii="Calibri" w:hAnsi="Calibri"/>
                <w:b w:val="0"/>
                <w:i w:val="0"/>
                <w:color w:val="0B2545"/>
                <w:sz w:val="17"/>
              </w:rPr>
              <w:t>All realized performance categories, dates, amounts and symbol/account lineage.</w:t>
            </w:r>
          </w:p>
        </w:tc>
      </w:tr>
      <w:tr>
        <w:trPr>
          <w:cantSplit/>
        </w:trPr>
        <w:tc>
          <w:tcPr>
            <w:tcW w:type="dxa" w:w="2550"/>
            <w:vAlign w:val="center"/>
            <w:tcMar>
              <w:top w:w="80" w:type="dxa"/>
              <w:bottom w:w="80" w:type="dxa"/>
              <w:start w:w="120" w:type="dxa"/>
              <w:end w:w="120" w:type="dxa"/>
            </w:tcMar>
          </w:tcPr>
          <w:p>
            <w:pPr>
              <w:spacing w:after="0" w:line="252" w:lineRule="auto"/>
            </w:pPr>
            <w:r>
              <w:rPr>
                <w:rFonts w:ascii="Calibri" w:hAnsi="Calibri"/>
                <w:b w:val="0"/>
                <w:i w:val="0"/>
                <w:color w:val="0B2545"/>
                <w:sz w:val="17"/>
              </w:rPr>
              <w:t>Non-ROI Cash Ledger</w:t>
            </w:r>
          </w:p>
        </w:tc>
        <w:tc>
          <w:tcPr>
            <w:tcW w:type="dxa" w:w="6810"/>
            <w:vAlign w:val="center"/>
            <w:tcMar>
              <w:top w:w="80" w:type="dxa"/>
              <w:bottom w:w="80" w:type="dxa"/>
              <w:start w:w="120" w:type="dxa"/>
              <w:end w:w="120" w:type="dxa"/>
            </w:tcMar>
          </w:tcPr>
          <w:p>
            <w:pPr>
              <w:spacing w:after="0" w:line="252" w:lineRule="auto"/>
            </w:pPr>
            <w:r>
              <w:rPr>
                <w:rFonts w:ascii="Calibri" w:hAnsi="Calibri"/>
                <w:b w:val="0"/>
                <w:i w:val="0"/>
                <w:color w:val="0B2545"/>
                <w:sz w:val="17"/>
              </w:rPr>
              <w:t>SSA, distributions, withdrawals, HSA medical expenses and withholding where relevant.</w:t>
            </w:r>
          </w:p>
        </w:tc>
      </w:tr>
      <w:tr>
        <w:trPr>
          <w:cantSplit/>
        </w:trPr>
        <w:tc>
          <w:tcPr>
            <w:tcW w:type="dxa" w:w="2550"/>
            <w:vAlign w:val="center"/>
            <w:tcMar>
              <w:top w:w="80" w:type="dxa"/>
              <w:bottom w:w="80" w:type="dxa"/>
              <w:start w:w="120" w:type="dxa"/>
              <w:end w:w="120" w:type="dxa"/>
            </w:tcMar>
          </w:tcPr>
          <w:p>
            <w:pPr>
              <w:spacing w:after="0" w:line="252" w:lineRule="auto"/>
            </w:pPr>
            <w:r>
              <w:rPr>
                <w:rFonts w:ascii="Calibri" w:hAnsi="Calibri"/>
                <w:b w:val="0"/>
                <w:i w:val="0"/>
                <w:color w:val="0B2545"/>
                <w:sz w:val="17"/>
              </w:rPr>
              <w:t>Trends</w:t>
            </w:r>
          </w:p>
        </w:tc>
        <w:tc>
          <w:tcPr>
            <w:tcW w:type="dxa" w:w="6810"/>
            <w:vAlign w:val="center"/>
            <w:tcMar>
              <w:top w:w="80" w:type="dxa"/>
              <w:bottom w:w="80" w:type="dxa"/>
              <w:start w:w="120" w:type="dxa"/>
              <w:end w:w="120" w:type="dxa"/>
            </w:tcMar>
          </w:tcPr>
          <w:p>
            <w:pPr>
              <w:spacing w:after="0" w:line="252" w:lineRule="auto"/>
            </w:pPr>
            <w:r>
              <w:rPr>
                <w:rFonts w:ascii="Calibri" w:hAnsi="Calibri"/>
                <w:b w:val="0"/>
                <w:i w:val="0"/>
                <w:color w:val="0B2545"/>
                <w:sz w:val="17"/>
              </w:rPr>
              <w:t>Uses the same weekly periods and source snapshots; Dashboard does not re-store Trends facts.</w:t>
            </w:r>
          </w:p>
        </w:tc>
      </w:tr>
      <w:tr>
        <w:trPr>
          <w:cantSplit/>
        </w:trPr>
        <w:tc>
          <w:tcPr>
            <w:tcW w:type="dxa" w:w="2550"/>
            <w:vAlign w:val="center"/>
            <w:tcMar>
              <w:top w:w="80" w:type="dxa"/>
              <w:bottom w:w="80" w:type="dxa"/>
              <w:start w:w="120" w:type="dxa"/>
              <w:end w:w="120" w:type="dxa"/>
            </w:tcMar>
          </w:tcPr>
          <w:p>
            <w:pPr>
              <w:spacing w:after="0" w:line="252" w:lineRule="auto"/>
            </w:pPr>
            <w:r>
              <w:rPr>
                <w:rFonts w:ascii="Calibri" w:hAnsi="Calibri"/>
                <w:b w:val="0"/>
                <w:i w:val="0"/>
                <w:color w:val="0B2545"/>
                <w:sz w:val="17"/>
              </w:rPr>
              <w:t>Tax/ACA monitoring</w:t>
            </w:r>
          </w:p>
        </w:tc>
        <w:tc>
          <w:tcPr>
            <w:tcW w:type="dxa" w:w="6810"/>
            <w:vAlign w:val="center"/>
            <w:tcMar>
              <w:top w:w="80" w:type="dxa"/>
              <w:bottom w:w="80" w:type="dxa"/>
              <w:start w:w="120" w:type="dxa"/>
              <w:end w:w="120" w:type="dxa"/>
            </w:tcMar>
          </w:tcPr>
          <w:p>
            <w:pPr>
              <w:spacing w:after="0" w:line="252" w:lineRule="auto"/>
            </w:pPr>
            <w:r>
              <w:rPr>
                <w:rFonts w:ascii="Calibri" w:hAnsi="Calibri"/>
                <w:b w:val="0"/>
                <w:i w:val="0"/>
                <w:color w:val="0B2545"/>
                <w:sz w:val="17"/>
              </w:rPr>
              <w:t>Supplies owner liability assumptions, withholding status and projection warnings where displayed.</w:t>
            </w:r>
          </w:p>
        </w:tc>
      </w:tr>
    </w:tbl>
    <w:p>
      <w:pPr>
        <w:spacing w:after="20"/>
      </w:pPr>
    </w:p>
    <w:p>
      <w:pPr>
        <w:pStyle w:val="Heading1"/>
      </w:pPr>
      <w:r>
        <w:t>13. Acceptance Criteria</w:t>
      </w:r>
    </w:p>
    <w:tbl>
      <w:tblPr>
        <w:tblStyle w:val="TableGrid"/>
        <w:tblW w:type="dxa" w:w="9360"/>
        <w:jc w:val="left"/>
        <w:tblLayout w:type="fixed"/>
        <w:tblLook w:firstColumn="1" w:firstRow="1" w:lastColumn="0" w:lastRow="0" w:noHBand="0" w:noVBand="1" w:val="04A0"/>
        <w:tblInd w:w="120" w:type="dxa"/>
      </w:tblPr>
      <w:tblGrid>
        <w:gridCol w:w="1250"/>
        <w:gridCol w:w="8110"/>
      </w:tblGrid>
      <w:tr>
        <w:trPr>
          <w:tblHeader w:val="true"/>
          <w:cantSplit/>
        </w:trPr>
        <w:tc>
          <w:tcPr>
            <w:tcW w:type="dxa" w:w="1250"/>
            <w:shd w:fill="F2F4F7"/>
            <w:vAlign w:val="center"/>
            <w:tcMar>
              <w:top w:w="80" w:type="dxa"/>
              <w:bottom w:w="80" w:type="dxa"/>
              <w:start w:w="120" w:type="dxa"/>
              <w:end w:w="120" w:type="dxa"/>
            </w:tcMar>
          </w:tcPr>
          <w:p>
            <w:pPr>
              <w:spacing w:after="0"/>
            </w:pPr>
            <w:r>
              <w:rPr>
                <w:rFonts w:ascii="Calibri" w:hAnsi="Calibri"/>
                <w:b/>
                <w:i w:val="0"/>
                <w:color w:val="0B2545"/>
                <w:sz w:val="16"/>
              </w:rPr>
              <w:t>ID</w:t>
            </w:r>
          </w:p>
        </w:tc>
        <w:tc>
          <w:tcPr>
            <w:tcW w:type="dxa" w:w="8110"/>
            <w:shd w:fill="F2F4F7"/>
            <w:vAlign w:val="center"/>
            <w:tcMar>
              <w:top w:w="80" w:type="dxa"/>
              <w:bottom w:w="80" w:type="dxa"/>
              <w:start w:w="120" w:type="dxa"/>
              <w:end w:w="120" w:type="dxa"/>
            </w:tcMar>
          </w:tcPr>
          <w:p>
            <w:pPr>
              <w:spacing w:after="0"/>
            </w:pPr>
            <w:r>
              <w:rPr>
                <w:rFonts w:ascii="Calibri" w:hAnsi="Calibri"/>
                <w:b/>
                <w:i w:val="0"/>
                <w:color w:val="0B2545"/>
                <w:sz w:val="16"/>
              </w:rPr>
              <w:t>Acceptance criterion</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DB-AC-01</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The highlighted current period remains Plan until Saturday close and then becomes Actual without overwriting its prior plan.</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DB-AC-02</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One actual balance or event entry updates Dashboard, Trends and every authorized downstream calculation.</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DB-AC-03</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Burndowns for Income, Car, Health and Roth project through December 31 and identify the first floor-breach period.</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DB-AC-04</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Each projected ending balance equals start plus planned income plus planned outflows; actual ending balance is stored independently and variance is shown.</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DB-AC-05</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Planned events can be matched, replaced, revised or cancelled with complete history when actuals arrive.</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DB-AC-06</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Current-week ROI is derived by date and activity type, not a row range, and reconciles to contributing ledger events.</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DB-AC-07</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Other Realized Investment Activity is broken into governed activity types and does not imply all activity is day trading.</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DB-AC-08</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YTD averages include completed periods only; current month is selected from the reporting date.</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DB-AC-09</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Required investment income includes living expenses plus taxes minus SSA; medical and reinvestment goals remain separately visible.</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DB-AC-10</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Monthly actual, preserved plan, prior-year actual and above/(below) requirement all use compatible period and activity definitions.</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DB-AC-11</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No displayed production metric contains a broken reference, unclassified source, unexplained hardcoded range or stale plan version.</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DB-AC-12</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Data-quality status identifies missing weekly balances, incomplete ledger loads and unresolved planned-event matches before close.</w:t>
            </w:r>
          </w:p>
        </w:tc>
      </w:tr>
      <w:tr>
        <w:trPr>
          <w:cantSplit/>
        </w:trPr>
        <w:tc>
          <w:tcPr>
            <w:tcW w:type="dxa" w:w="1250"/>
            <w:vAlign w:val="center"/>
            <w:tcMar>
              <w:top w:w="80" w:type="dxa"/>
              <w:bottom w:w="80" w:type="dxa"/>
              <w:start w:w="120" w:type="dxa"/>
              <w:end w:w="120" w:type="dxa"/>
            </w:tcMar>
          </w:tcPr>
          <w:p>
            <w:pPr>
              <w:spacing w:after="0" w:line="252" w:lineRule="auto"/>
            </w:pPr>
            <w:r>
              <w:rPr>
                <w:rFonts w:ascii="Calibri" w:hAnsi="Calibri"/>
                <w:b w:val="0"/>
                <w:i w:val="0"/>
                <w:color w:val="0B2545"/>
                <w:sz w:val="16"/>
              </w:rPr>
              <w:t>DB-AC-13</w:t>
            </w:r>
          </w:p>
        </w:tc>
        <w:tc>
          <w:tcPr>
            <w:tcW w:type="dxa" w:w="8110"/>
            <w:vAlign w:val="center"/>
            <w:tcMar>
              <w:top w:w="80" w:type="dxa"/>
              <w:bottom w:w="80" w:type="dxa"/>
              <w:start w:w="120" w:type="dxa"/>
              <w:end w:w="120" w:type="dxa"/>
            </w:tcMar>
          </w:tcPr>
          <w:p>
            <w:pPr>
              <w:spacing w:after="0" w:line="252" w:lineRule="auto"/>
            </w:pPr>
            <w:r>
              <w:rPr>
                <w:rFonts w:ascii="Calibri" w:hAnsi="Calibri"/>
                <w:b w:val="0"/>
                <w:i w:val="0"/>
                <w:color w:val="0B2545"/>
                <w:sz w:val="16"/>
              </w:rPr>
              <w:t>Every closed-period correction and automated action is logged with actor, time, reason and before/after values.</w:t>
            </w:r>
          </w:p>
        </w:tc>
      </w:tr>
    </w:tbl>
    <w:p>
      <w:pPr>
        <w:spacing w:after="20"/>
      </w:pPr>
    </w:p>
    <w:p>
      <w:r>
        <w:br w:type="page"/>
      </w:r>
    </w:p>
    <w:p>
      <w:pPr>
        <w:pStyle w:val="Heading1"/>
      </w:pPr>
      <w:r>
        <w:t>14. Migration and Implementation Boundaries</w:t>
      </w:r>
    </w:p>
    <w:p>
      <w:pPr>
        <w:pStyle w:val="ListBullet"/>
      </w:pPr>
      <w:r>
        <w:rPr>
          <w:rFonts w:ascii="Calibri" w:hAnsi="Calibri"/>
          <w:b w:val="0"/>
          <w:i w:val="0"/>
          <w:color w:val="0B2545"/>
          <w:sz w:val="22"/>
        </w:rPr>
        <w:t>Preserve the legacy monthly ROI totals and burndown actual balances as historical facts with original labels and source references.</w:t>
      </w:r>
    </w:p>
    <w:p>
      <w:pPr>
        <w:pStyle w:val="ListBullet"/>
      </w:pPr>
      <w:r>
        <w:rPr>
          <w:rFonts w:ascii="Calibri" w:hAnsi="Calibri"/>
          <w:b w:val="0"/>
          <w:i w:val="0"/>
          <w:color w:val="0B2545"/>
          <w:sz w:val="22"/>
        </w:rPr>
        <w:t>Do not create duplicate ROI or non-ROI transactions from Dashboard summaries when event-level history already exists elsewhere.</w:t>
      </w:r>
    </w:p>
    <w:p>
      <w:pPr>
        <w:pStyle w:val="ListBullet"/>
      </w:pPr>
      <w:r>
        <w:rPr>
          <w:rFonts w:ascii="Calibri" w:hAnsi="Calibri"/>
          <w:b w:val="0"/>
          <w:i w:val="0"/>
          <w:color w:val="0B2545"/>
          <w:sz w:val="22"/>
        </w:rPr>
        <w:t>Where only a summary exists, retain it as a legacy aggregate and label its lineage limitation.</w:t>
      </w:r>
    </w:p>
    <w:p>
      <w:pPr>
        <w:pStyle w:val="ListBullet"/>
      </w:pPr>
      <w:r>
        <w:rPr>
          <w:rFonts w:ascii="Calibri" w:hAnsi="Calibri"/>
          <w:b w:val="0"/>
          <w:i w:val="0"/>
          <w:color w:val="0B2545"/>
          <w:sz w:val="22"/>
        </w:rPr>
        <w:t>Map legacy Saturday dates to the shared Saturday–Friday period while preserving the original displayed date for audit.</w:t>
      </w:r>
    </w:p>
    <w:p>
      <w:pPr>
        <w:pStyle w:val="ListBullet"/>
      </w:pPr>
      <w:r>
        <w:rPr>
          <w:rFonts w:ascii="Calibri" w:hAnsi="Calibri"/>
          <w:b w:val="0"/>
          <w:i w:val="0"/>
          <w:color w:val="0B2545"/>
          <w:sz w:val="22"/>
        </w:rPr>
        <w:t>Migrate the current Income, Car and Health floors as initial configurable rules; define the Roth floor during implementation setup without changing the architecture.</w:t>
      </w:r>
    </w:p>
    <w:p>
      <w:pPr>
        <w:pStyle w:val="ListBullet"/>
      </w:pPr>
      <w:r>
        <w:rPr>
          <w:rFonts w:ascii="Calibri" w:hAnsi="Calibri"/>
          <w:b w:val="0"/>
          <w:i w:val="0"/>
          <w:color w:val="0B2545"/>
          <w:sz w:val="22"/>
        </w:rPr>
        <w:t>Manual capture, structured paste/file import and future APIs must write the same canonical entities and produce the same calculations.</w:t>
      </w:r>
    </w:p>
    <w:p>
      <w:r>
        <w:br w:type="page"/>
      </w:r>
    </w:p>
    <w:p>
      <w:pPr>
        <w:pStyle w:val="Heading1"/>
      </w:pPr>
      <w:r>
        <w:t>15. Final Approved Decisions</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cantSplit/>
        </w:trPr>
        <w:tc>
          <w:tcPr>
            <w:tcW w:type="dxa" w:w="2450"/>
            <w:shd w:fill="F2F4F7"/>
            <w:vAlign w:val="center"/>
            <w:tcMar>
              <w:top w:w="80" w:type="dxa"/>
              <w:bottom w:w="80" w:type="dxa"/>
              <w:start w:w="120" w:type="dxa"/>
              <w:end w:w="120" w:type="dxa"/>
            </w:tcMar>
          </w:tcPr>
          <w:p>
            <w:pPr>
              <w:spacing w:after="0"/>
            </w:pPr>
            <w:r>
              <w:rPr>
                <w:rFonts w:ascii="Calibri" w:hAnsi="Calibri"/>
                <w:b/>
                <w:i w:val="0"/>
                <w:color w:val="0B2545"/>
                <w:sz w:val="17"/>
              </w:rPr>
              <w:t>Decision</w:t>
            </w:r>
          </w:p>
        </w:tc>
        <w:tc>
          <w:tcPr>
            <w:tcW w:type="dxa" w:w="6910"/>
            <w:shd w:fill="F2F4F7"/>
            <w:vAlign w:val="center"/>
            <w:tcMar>
              <w:top w:w="80" w:type="dxa"/>
              <w:bottom w:w="80" w:type="dxa"/>
              <w:start w:w="120" w:type="dxa"/>
              <w:end w:w="120" w:type="dxa"/>
            </w:tcMar>
          </w:tcPr>
          <w:p>
            <w:pPr>
              <w:spacing w:after="0"/>
            </w:pPr>
            <w:r>
              <w:rPr>
                <w:rFonts w:ascii="Calibri" w:hAnsi="Calibri"/>
                <w:b/>
                <w:i w:val="0"/>
                <w:color w:val="0B2545"/>
                <w:sz w:val="17"/>
              </w:rPr>
              <w:t>Approved result</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Dashboard role</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7"/>
              </w:rPr>
              <w:t>Presentation/projection layer only; source facts are stored in governed domain entities.</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Weekly lifecycle</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7"/>
              </w:rPr>
              <w:t>Current week remains Plan until Saturday close, then becomes Actual with plan history retained.</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Cash-flow planning</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7"/>
              </w:rPr>
              <w:t>Anticipated Income, Car, Health and Roth events are dated plans matched or replaced by actual events.</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Forecast horizon</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7"/>
              </w:rPr>
              <w:t>Project each account through year-end, not only four weeks.</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Roth</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7"/>
              </w:rPr>
              <w:t>Add Roth to the Dashboard burndown with a configurable safety floor.</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Household minimum</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7"/>
              </w:rPr>
              <w:t>Living expenses plus taxes minus Social Security; medical and reinvestment goals remain separate.</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Realized performance</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7"/>
              </w:rPr>
              <w:t>ROI ledger is authoritative; all realized categories remain distinct.</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Day Trades label</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7"/>
              </w:rPr>
              <w:t>Replace with Other Realized Investment Activity and show component categories.</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Plan history</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7"/>
              </w:rPr>
              <w:t>Preserve immutable plan snapshots for valid as-planned versus actual analysis.</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Data entry</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7"/>
              </w:rPr>
              <w:t>Capture each weekly metric or event once and propagate it to every required view.</w:t>
            </w:r>
          </w:p>
        </w:tc>
      </w:tr>
      <w:tr>
        <w:trPr>
          <w:cantSplit/>
        </w:trPr>
        <w:tc>
          <w:tcPr>
            <w:tcW w:type="dxa" w:w="2450"/>
            <w:vAlign w:val="center"/>
            <w:tcMar>
              <w:top w:w="80" w:type="dxa"/>
              <w:bottom w:w="80" w:type="dxa"/>
              <w:start w:w="120" w:type="dxa"/>
              <w:end w:w="120" w:type="dxa"/>
            </w:tcMar>
          </w:tcPr>
          <w:p>
            <w:pPr>
              <w:spacing w:after="0" w:line="252" w:lineRule="auto"/>
            </w:pPr>
            <w:r>
              <w:rPr>
                <w:rFonts w:ascii="Calibri" w:hAnsi="Calibri"/>
                <w:b w:val="0"/>
                <w:i w:val="0"/>
                <w:color w:val="0B2545"/>
                <w:sz w:val="17"/>
              </w:rPr>
              <w:t>Design readiness</w:t>
            </w:r>
          </w:p>
        </w:tc>
        <w:tc>
          <w:tcPr>
            <w:tcW w:type="dxa" w:w="6910"/>
            <w:vAlign w:val="center"/>
            <w:tcMar>
              <w:top w:w="80" w:type="dxa"/>
              <w:bottom w:w="80" w:type="dxa"/>
              <w:start w:w="120" w:type="dxa"/>
              <w:end w:w="120" w:type="dxa"/>
            </w:tcMar>
          </w:tcPr>
          <w:p>
            <w:pPr>
              <w:spacing w:after="0" w:line="252" w:lineRule="auto"/>
            </w:pPr>
            <w:r>
              <w:rPr>
                <w:rFonts w:ascii="Calibri" w:hAnsi="Calibri"/>
                <w:b w:val="0"/>
                <w:i w:val="0"/>
                <w:color w:val="0B2545"/>
                <w:sz w:val="17"/>
              </w:rPr>
              <w:t>No unresolved business decision blocks implementation of the Dashboard domain.</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20" w:type="dxa"/>
              <w:bottom w:w="120" w:type="dxa"/>
              <w:start w:w="120" w:type="dxa"/>
              <w:end w:w="120" w:type="dxa"/>
            </w:tcMar>
            <w:shd w:fill="EAF4E2"/>
          </w:tcPr>
          <w:p>
            <w:pPr>
              <w:spacing w:after="0"/>
            </w:pPr>
            <w:r>
              <w:rPr>
                <w:rFonts w:ascii="Calibri" w:hAnsi="Calibri"/>
                <w:b/>
                <w:i w:val="0"/>
                <w:color w:val="315B24"/>
                <w:sz w:val="22"/>
              </w:rPr>
              <w:t xml:space="preserve">Conclusion: </w:t>
            </w:r>
            <w:r>
              <w:rPr>
                <w:rFonts w:ascii="Calibri" w:hAnsi="Calibri"/>
                <w:b w:val="0"/>
                <w:i w:val="0"/>
                <w:color w:val="315B24"/>
                <w:sz w:val="22"/>
              </w:rPr>
              <w:t>This document is the durable as-built and target-architecture specification for the Dashboard. It is complete enough to drive application data-model, calculation-service, interface, migration and acceptance-test design and is consistent with the approved Position Details, Last Price, Income Plan, ROI and Trends documents.</w:t>
            </w:r>
          </w:p>
        </w:tc>
      </w:tr>
    </w:tbl>
    <w:p>
      <w:pPr>
        <w:spacing w:after="20"/>
      </w:pPr>
    </w:p>
    <w:p>
      <w:r>
        <w:rPr>
          <w:rFonts w:ascii="Arial" w:hAnsi="Arial" w:eastAsia="Arial"/>
          <w:b/>
          <w:i w:val="0"/>
          <w:color w:val="1F4E79"/>
          <w:sz w:val="24"/>
        </w:rPr>
        <w:t>PROJECT LOCK DISPOSITION — 14 Aug 2026</w:t>
      </w:r>
    </w:p>
    <w:p>
      <w:r>
        <w:rPr>
          <w:rFonts w:ascii="Arial" w:hAnsi="Arial" w:eastAsia="Arial"/>
          <w:b/>
          <w:i w:val="0"/>
          <w:color w:val="006600"/>
          <w:sz w:val="22"/>
        </w:rPr>
        <w:t>Status: LOCKED — DESIGN COMPLETE. Authoritative Dashboard foundation for implementation.</w:t>
      </w:r>
    </w:p>
    <w:p>
      <w:r>
        <w:rPr>
          <w:rFonts w:ascii="Arial" w:hAnsi="Arial" w:eastAsia="Arial"/>
          <w:b w:val="0"/>
          <w:i/>
          <w:sz w:val="20"/>
        </w:rPr>
        <w:t>Accepted as accurate as-is reconstruction and target requirements. Subject to Cross-Cutting Business Requirements (BR-X) locked the same day.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5B6573"/>
        <w:sz w:val="18"/>
      </w:rPr>
      <w:t>Finance Management Application | Dashboard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color w:val="0B254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color w:val="0B254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line="252" w:lineRule="auto"/>
    </w:pPr>
    <w:rPr>
      <w:rFonts w:ascii="Calibri" w:hAnsi="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Dashboard — Current Architecture and Target Requirements</dc:title>
  <dc:subject>Formula reconstruction, business process, data model and complete target architecture</dc:subject>
  <dc:creator>Finance Management Application Project</dc:creator>
  <cp:keywords>Dashboard, burndown, dividend plan, ROI, household income, target architecture</cp:keywords>
  <dc:description>generated by python-docx</dc:description>
  <cp:lastModifiedBy/>
  <cp:revision>1</cp:revision>
  <dcterms:created xsi:type="dcterms:W3CDTF">2013-12-23T23:15:00Z</dcterms:created>
  <dcterms:modified xsi:type="dcterms:W3CDTF">2013-12-23T23:15:00Z</dcterms:modified>
  <cp:category/>
</cp:coreProperties>
</file>