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46"/>
        </w:rPr>
        <w:t>LAST PRICE DOMAIN</w:t>
      </w:r>
    </w:p>
    <w:p>
      <w:pPr>
        <w:pStyle w:val="Subtitle"/>
      </w:pPr>
      <w:r>
        <w:rPr>
          <w:rFonts w:ascii="Calibri" w:hAnsi="Calibri"/>
          <w:b w:val="0"/>
          <w:i w:val="0"/>
          <w:color w:val="5B6573"/>
          <w:sz w:val="26"/>
        </w:rPr>
        <w:t>Verified Current State and Complete Target Architecture</w:t>
      </w:r>
    </w:p>
    <w:p>
      <w:pPr>
        <w:spacing w:after="40"/>
      </w:pPr>
      <w:r>
        <w:rPr>
          <w:rFonts w:ascii="Calibri" w:hAnsi="Calibri"/>
          <w:b/>
          <w:i w:val="0"/>
          <w:color w:val="0B2545"/>
          <w:sz w:val="22"/>
        </w:rPr>
        <w:t xml:space="preserve">Status: </w:t>
      </w:r>
      <w:r>
        <w:rPr>
          <w:rFonts w:ascii="Calibri" w:hAnsi="Calibri"/>
          <w:b w:val="0"/>
          <w:i w:val="0"/>
          <w:color w:val="0B2545"/>
          <w:sz w:val="22"/>
        </w:rPr>
        <w:t>DESIGN COMPLETE — approved foundation for implementation</w:t>
      </w:r>
    </w:p>
    <w:p>
      <w:pPr>
        <w:spacing w:after="40"/>
      </w:pPr>
      <w:r>
        <w:rPr>
          <w:rFonts w:ascii="Calibri" w:hAnsi="Calibri"/>
          <w:b/>
          <w:i w:val="0"/>
          <w:color w:val="0B2545"/>
          <w:sz w:val="22"/>
        </w:rPr>
        <w:t xml:space="preserve">Source: </w:t>
      </w:r>
      <w:r>
        <w:rPr>
          <w:rFonts w:ascii="Calibri" w:hAnsi="Calibri"/>
          <w:b w:val="0"/>
          <w:i w:val="0"/>
          <w:color w:val="0B2545"/>
          <w:sz w:val="22"/>
        </w:rPr>
        <w:t>2026-tracking spreadseet.xlsb — Last Price A1:D71</w:t>
      </w:r>
    </w:p>
    <w:p>
      <w:pPr>
        <w:spacing w:after="40"/>
      </w:pPr>
      <w:r>
        <w:rPr>
          <w:rFonts w:ascii="Calibri" w:hAnsi="Calibri"/>
          <w:b/>
          <w:i w:val="0"/>
          <w:color w:val="0B2545"/>
          <w:sz w:val="22"/>
        </w:rPr>
        <w:t xml:space="preserve">Source note: </w:t>
      </w:r>
      <w:r>
        <w:rPr>
          <w:rFonts w:ascii="Calibri" w:hAnsi="Calibri"/>
          <w:b w:val="0"/>
          <w:i w:val="0"/>
          <w:color w:val="0B2545"/>
          <w:sz w:val="22"/>
        </w:rPr>
        <w:t>Lastprice tab.docx</w:t>
      </w:r>
    </w:p>
    <w:p>
      <w:pPr>
        <w:spacing w:after="40"/>
      </w:pPr>
      <w:r>
        <w:rPr>
          <w:rFonts w:ascii="Calibri" w:hAnsi="Calibri"/>
          <w:b/>
          <w:i w:val="0"/>
          <w:color w:val="0B2545"/>
          <w:sz w:val="22"/>
        </w:rPr>
        <w:t xml:space="preserve">Verified: </w:t>
      </w:r>
      <w:r>
        <w:rPr>
          <w:rFonts w:ascii="Calibri" w:hAnsi="Calibri"/>
          <w:b w:val="0"/>
          <w:i w:val="0"/>
          <w:color w:val="0B2545"/>
          <w:sz w:val="22"/>
        </w:rPr>
        <w:t>13 August 2026</w:t>
      </w:r>
    </w:p>
    <w:p>
      <w:pPr>
        <w:spacing w:after="40"/>
      </w:pPr>
      <w:r>
        <w:rPr>
          <w:rFonts w:ascii="Calibri" w:hAnsi="Calibri"/>
          <w:b/>
          <w:i w:val="0"/>
          <w:color w:val="0B2545"/>
          <w:sz w:val="22"/>
        </w:rPr>
        <w:t xml:space="preserve">Scope: </w:t>
      </w:r>
      <w:r>
        <w:rPr>
          <w:rFonts w:ascii="Calibri" w:hAnsi="Calibri"/>
          <w:b w:val="0"/>
          <w:i w:val="0"/>
          <w:color w:val="0B2545"/>
          <w:sz w:val="22"/>
        </w:rPr>
        <w:t>Current-price acquisition, validation, persistence, override and consumption</w:t>
      </w:r>
    </w:p>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50" w:type="dxa"/>
              <w:end w:w="150" w:type="dxa"/>
            </w:tcMar>
            <w:shd w:fill="EAF4E2"/>
          </w:tcPr>
          <w:p>
            <w:pPr>
              <w:spacing w:after="0"/>
            </w:pPr>
            <w:r>
              <w:rPr>
                <w:rFonts w:ascii="Calibri" w:hAnsi="Calibri"/>
                <w:b/>
                <w:i w:val="0"/>
                <w:color w:val="315B24"/>
                <w:sz w:val="22"/>
              </w:rPr>
              <w:t xml:space="preserve">Design disposition: </w:t>
            </w:r>
            <w:r>
              <w:rPr>
                <w:rFonts w:ascii="Calibri" w:hAnsi="Calibri"/>
                <w:b w:val="0"/>
                <w:i w:val="0"/>
                <w:color w:val="315B24"/>
                <w:sz w:val="22"/>
              </w:rPr>
              <w:t>The business and target architecture for this tab are complete. Last Price is a simple symbol-to-current-price staging function. The application replaces the fragile paste sheet with a reliable PriceQuote capability while preserving the same uncomplicated consumer contract: given an investment identity, return one usable current price plus its freshness and provenance.</w:t>
            </w:r>
          </w:p>
        </w:tc>
      </w:tr>
    </w:tbl>
    <w:p>
      <w:pPr>
        <w:spacing w:after="20"/>
      </w:pPr>
    </w:p>
    <w:p>
      <w:pPr>
        <w:pStyle w:val="Heading1"/>
      </w:pPr>
      <w:r>
        <w:t>1. Understanding of the Tab</w:t>
      </w:r>
    </w:p>
    <w:p>
      <w:r>
        <w:rPr>
          <w:rFonts w:ascii="Calibri" w:hAnsi="Calibri"/>
          <w:b w:val="0"/>
          <w:i w:val="0"/>
          <w:color w:val="0B2545"/>
          <w:sz w:val="22"/>
        </w:rPr>
        <w:t>The Last Price tab exists for one reason: provide a current market price for each symbol so the rest of the workbook can calculate market value, unrealized gain or loss, price-based yield and allocation. It became a manually pasted list after Thinkorswim RTD stopped working. Because the paste process was not consistently maintained, a numeric value may exist while its age and reliability are unknown.</w:t>
      </w:r>
    </w:p>
    <w:p>
      <w:r>
        <w:rPr>
          <w:rFonts w:ascii="Calibri" w:hAnsi="Calibri"/>
          <w:b w:val="0"/>
          <w:i w:val="0"/>
          <w:color w:val="0B2545"/>
          <w:sz w:val="22"/>
        </w:rPr>
        <w:t>The target does not reproduce a spreadsheet tab as a database master. It supplies a small, authoritative current-price interface backed by retained quote observations, automated business-day retrieval, validation, visible stale status and a controlled manual override.</w:t>
      </w:r>
    </w:p>
    <w:p>
      <w:pPr>
        <w:pStyle w:val="Heading1"/>
      </w:pPr>
      <w:r>
        <w:t>2. Verified Current Workbook State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bottom w:w="80" w:type="dxa"/>
              <w:start w:w="120" w:type="dxa"/>
              <w:end w:w="120" w:type="dxa"/>
            </w:tcMar>
          </w:tcPr>
          <w:p>
            <w:pPr>
              <w:spacing w:after="0"/>
            </w:pPr>
            <w:r>
              <w:rPr>
                <w:rFonts w:ascii="Calibri" w:hAnsi="Calibri"/>
                <w:b/>
                <w:i w:val="0"/>
                <w:color w:val="0B2545"/>
                <w:sz w:val="18"/>
              </w:rPr>
              <w:t>Evidence</w:t>
            </w:r>
          </w:p>
        </w:tc>
        <w:tc>
          <w:tcPr>
            <w:tcW w:type="dxa" w:w="6960"/>
            <w:shd w:fill="F2F4F7"/>
            <w:vAlign w:val="center"/>
            <w:tcMar>
              <w:top w:w="80" w:type="dxa"/>
              <w:bottom w:w="80" w:type="dxa"/>
              <w:start w:w="120" w:type="dxa"/>
              <w:end w:w="120" w:type="dxa"/>
            </w:tcMar>
          </w:tcPr>
          <w:p>
            <w:pPr>
              <w:spacing w:after="0"/>
            </w:pPr>
            <w:r>
              <w:rPr>
                <w:rFonts w:ascii="Calibri" w:hAnsi="Calibri"/>
                <w:b/>
                <w:i w:val="0"/>
                <w:color w:val="0B2545"/>
                <w:sz w:val="18"/>
              </w:rPr>
              <w:t>Verified finding</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Used range</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A1:D71.</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Active data</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Columns A:B contain Symbol and Last Price. Rows 2–71 contain 70 populated symbol/price pairs.</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Unused area</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C1:D1 repeat the headers, but C2:D71 contain no data.</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Uniqueness</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All 70 populated symbols are unique.</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Values</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All 70 prices are positive numeric constants; there are no live formulas on the tab.</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Freshness/provenance</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No as-of date, retrieval timestamp, source or stale indicator is stored with a price.</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History</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A new paste overwrites the practical current list; no durable quote history is maintained.</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Direct formula consumers</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Holdings contains 1,223 formulas, Calculator 38 formulas and Shopping Cart 30 formulas that look up Last Price A:B by symbol.</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8"/>
              </w:rPr>
              <w:t>Other consumers</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8"/>
              </w:rPr>
              <w:t>Position Details, Allocations and Dashboard depend on current valuation directly or indirectly; some current paths bypass Last Price, so price authority is fragmented.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50" w:type="dxa"/>
              <w:end w:w="150" w:type="dxa"/>
            </w:tcMar>
            <w:shd w:fill="E8EEF5"/>
          </w:tcPr>
          <w:p>
            <w:pPr>
              <w:spacing w:after="0"/>
            </w:pPr>
            <w:r>
              <w:rPr>
                <w:rFonts w:ascii="Calibri" w:hAnsi="Calibri"/>
                <w:b/>
                <w:i w:val="0"/>
                <w:color w:val="1F4D78"/>
                <w:sz w:val="22"/>
              </w:rPr>
              <w:t xml:space="preserve">Current-state conclusion: </w:t>
            </w:r>
            <w:r>
              <w:rPr>
                <w:rFonts w:ascii="Calibri" w:hAnsi="Calibri"/>
                <w:b w:val="0"/>
                <w:i w:val="0"/>
                <w:color w:val="1F4D78"/>
                <w:sz w:val="22"/>
              </w:rPr>
              <w:t>The tab’s meaning is fully understood. Its only authoritative payload is Symbol + manually supplied Last Price. It does not contain hidden business logic, price history or trustworthy freshness metadata.</w:t>
            </w:r>
          </w:p>
        </w:tc>
      </w:tr>
    </w:tbl>
    <w:p>
      <w:pPr>
        <w:spacing w:after="20"/>
      </w:pPr>
    </w:p>
    <w:p>
      <w:pPr>
        <w:pStyle w:val="Heading1"/>
      </w:pPr>
      <w:r>
        <w:t>3. Confirmed Business Rules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vAlign w:val="center"/>
            <w:tcMar>
              <w:top w:w="80" w:type="dxa"/>
              <w:bottom w:w="80" w:type="dxa"/>
              <w:start w:w="120" w:type="dxa"/>
              <w:end w:w="120" w:type="dxa"/>
            </w:tcMar>
          </w:tcPr>
          <w:p>
            <w:pPr>
              <w:spacing w:after="0"/>
            </w:pPr>
            <w:r>
              <w:rPr>
                <w:rFonts w:ascii="Calibri" w:hAnsi="Calibri"/>
                <w:b/>
                <w:i w:val="0"/>
                <w:color w:val="0B2545"/>
                <w:sz w:val="18"/>
              </w:rPr>
              <w:t>ID</w:t>
            </w:r>
          </w:p>
        </w:tc>
        <w:tc>
          <w:tcPr>
            <w:tcW w:type="dxa" w:w="8060"/>
            <w:shd w:fill="F2F4F7"/>
            <w:vAlign w:val="center"/>
            <w:tcMar>
              <w:top w:w="80" w:type="dxa"/>
              <w:bottom w:w="80" w:type="dxa"/>
              <w:start w:w="120" w:type="dxa"/>
              <w:end w:w="120" w:type="dxa"/>
            </w:tcMar>
          </w:tcPr>
          <w:p>
            <w:pPr>
              <w:spacing w:after="0"/>
            </w:pPr>
            <w:r>
              <w:rPr>
                <w:rFonts w:ascii="Calibri" w:hAnsi="Calibri"/>
                <w:b/>
                <w:i w:val="0"/>
                <w:color w:val="0B2545"/>
                <w:sz w:val="18"/>
              </w:rPr>
              <w:t>Rule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BR-LP-01</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Every active or decision-relevant investment identity must resolve to no more than one effective current price.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BR-LP-02</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The normal path is an automated update on each applicable business day.</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BR-LP-03</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A controlled manual price override is required from day one for unavailable or demonstrably incorrect automated quotes.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BR-LP-04</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Every returned price must disclose source, market/as-of time, retrieval time, quote type, currency and freshness status.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BR-LP-05</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A failed refresh must never silently convert a position price to zero or treat a stale value as current.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BR-LP-06</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All application consumers use the same CurrentPrice interface; no screen or calculation retrieves an independent ungoverned price.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BR-LP-07</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The system retains accepted observations so valuation changes are auditable and prior as-of views can be reproduced.</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8"/>
              </w:rPr>
              <w:t>BR-LP-08</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8"/>
              </w:rPr>
              <w:t>Symbol is a lookup identifier, not the durable key. Prices attach to immutable investment identity and preserve the raw source symbol.</w:t>
            </w:r>
          </w:p>
        </w:tc>
      </w:tr>
    </w:tbl>
    <w:p>
      <w:pPr>
        <w:spacing w:after="20"/>
      </w:pPr>
    </w:p>
    <w:p>
      <w:pPr>
        <w:pStyle w:val="Heading1"/>
      </w:pPr>
      <w:r>
        <w:t>4. Complete Target Architecture</w:t>
      </w:r>
    </w:p>
    <w:p>
      <w:r>
        <w:rPr>
          <w:rFonts w:ascii="Calibri" w:hAnsi="Calibri"/>
          <w:b w:val="0"/>
          <w:i w:val="0"/>
          <w:color w:val="0B2545"/>
          <w:sz w:val="22"/>
        </w:rPr>
        <w:t>The target uses a provider-neutral PriceQuote domain. Acquisition adapters may change without changing Holdings, Calculator, Position Details, Shopping Cart, Allocations or Dashboard. Vendor selection and credentials are implementation configuration, not unresolved business design.</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7"/>
            <w:vAlign w:val="center"/>
            <w:tcMar>
              <w:top w:w="80" w:type="dxa"/>
              <w:bottom w:w="80" w:type="dxa"/>
              <w:start w:w="120" w:type="dxa"/>
              <w:end w:w="120" w:type="dxa"/>
            </w:tcMar>
          </w:tcPr>
          <w:p>
            <w:pPr>
              <w:spacing w:after="0"/>
            </w:pPr>
            <w:r>
              <w:rPr>
                <w:rFonts w:ascii="Calibri" w:hAnsi="Calibri"/>
                <w:b/>
                <w:i w:val="0"/>
                <w:color w:val="0B2545"/>
                <w:sz w:val="17"/>
              </w:rPr>
              <w:t>Component</w:t>
            </w:r>
          </w:p>
        </w:tc>
        <w:tc>
          <w:tcPr>
            <w:tcW w:type="dxa" w:w="7010"/>
            <w:shd w:fill="F2F4F7"/>
            <w:vAlign w:val="center"/>
            <w:tcMar>
              <w:top w:w="80" w:type="dxa"/>
              <w:bottom w:w="80" w:type="dxa"/>
              <w:start w:w="120" w:type="dxa"/>
              <w:end w:w="120" w:type="dxa"/>
            </w:tcMar>
          </w:tcPr>
          <w:p>
            <w:pPr>
              <w:spacing w:after="0"/>
            </w:pPr>
            <w:r>
              <w:rPr>
                <w:rFonts w:ascii="Calibri" w:hAnsi="Calibri"/>
                <w:b/>
                <w:i w:val="0"/>
                <w:color w:val="0B2545"/>
                <w:sz w:val="17"/>
              </w:rPr>
              <w:t>Responsibility</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 update scheduler</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Starts the applicable business-day update and records a PriceRetrievalRun. Supports an authorized on-demand retry.</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 source adapter</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Requests quotes from the configured source and maps source symbols, timestamps, currency and quote type into the common contract.</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Quote validator</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Rejects missing, nonnumeric, nonpositive or structurally invalid values; detects symbol mismatch and records warnings for unusual moves.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PriceQuote store</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Retains immutable accepted and rejected observations with source and timestamps. It does not overwrite history.</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ManualPriceOverride</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Stores an authorized price, effective window, reason, user and audit timestamps. It supersedes the automated selection temporarily; it does not delete quotes.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CurrentPrice view/service</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Selects the effective price and returns value, currency, source, quote type, as-of time, freshness and override status.</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Monitoring/status</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Reports run completion, missing symbols, rejected quotes, stale prices and active overrides; supports retry and owner review.</w:t>
            </w:r>
          </w:p>
        </w:tc>
      </w:tr>
      <w:tr>
        <w:trPr>
          <w:cantSplit/>
        </w:trPr>
        <w:tc>
          <w:tcPr>
            <w:tcW w:type="dxa" w:w="2350"/>
            <w:vAlign w:val="center"/>
            <w:tcMar>
              <w:top w:w="80" w:type="dxa"/>
              <w:bottom w:w="80" w:type="dxa"/>
              <w:start w:w="120" w:type="dxa"/>
              <w:end w:w="120" w:type="dxa"/>
            </w:tcMar>
          </w:tcPr>
          <w:p>
            <w:pPr>
              <w:spacing w:after="0" w:line="252" w:lineRule="auto"/>
            </w:pPr>
            <w:r>
              <w:rPr>
                <w:rFonts w:ascii="Calibri" w:hAnsi="Calibri"/>
                <w:b w:val="0"/>
                <w:i w:val="0"/>
                <w:color w:val="0B2545"/>
                <w:sz w:val="17"/>
              </w:rPr>
              <w:t>Consumers</w:t>
            </w:r>
          </w:p>
        </w:tc>
        <w:tc>
          <w:tcPr>
            <w:tcW w:type="dxa" w:w="7010"/>
            <w:vAlign w:val="center"/>
            <w:tcMar>
              <w:top w:w="80" w:type="dxa"/>
              <w:bottom w:w="80" w:type="dxa"/>
              <w:start w:w="120" w:type="dxa"/>
              <w:end w:w="120" w:type="dxa"/>
            </w:tcMar>
          </w:tcPr>
          <w:p>
            <w:pPr>
              <w:spacing w:after="0" w:line="252" w:lineRule="auto"/>
            </w:pPr>
            <w:r>
              <w:rPr>
                <w:rFonts w:ascii="Calibri" w:hAnsi="Calibri"/>
                <w:b w:val="0"/>
                <w:i w:val="0"/>
                <w:color w:val="0B2545"/>
                <w:sz w:val="17"/>
              </w:rPr>
              <w:t>Use only CurrentPrice for valuation and price-derived calculations. Each displayed value can expose the same as-of/freshness information.</w:t>
            </w:r>
          </w:p>
        </w:tc>
      </w:tr>
    </w:tbl>
    <w:p>
      <w:pPr>
        <w:spacing w:after="20"/>
      </w:pPr>
    </w:p>
    <w:p>
      <w:pPr>
        <w:pStyle w:val="Heading2"/>
      </w:pPr>
      <w:r>
        <w:t>4.1 Daily operating flow</w:t>
      </w:r>
    </w:p>
    <w:tbl>
      <w:tblPr>
        <w:tblStyle w:val="TableGrid"/>
        <w:tblW w:type="dxa" w:w="9360"/>
        <w:jc w:val="left"/>
        <w:tblLayout w:type="fixed"/>
        <w:tblLook w:firstColumn="1" w:firstRow="1" w:lastColumn="0" w:lastRow="0" w:noHBand="0" w:noVBand="1" w:val="04A0"/>
        <w:tblInd w:w="120" w:type="dxa"/>
      </w:tblPr>
      <w:tblGrid>
        <w:gridCol w:w="650"/>
        <w:gridCol w:w="8710"/>
      </w:tblGrid>
      <w:tr>
        <w:trPr>
          <w:tblHeader w:val="true"/>
          <w:cantSplit/>
        </w:trPr>
        <w:tc>
          <w:tcPr>
            <w:tcW w:type="dxa" w:w="650"/>
            <w:shd w:fill="F2F4F7"/>
            <w:vAlign w:val="center"/>
            <w:tcMar>
              <w:top w:w="80" w:type="dxa"/>
              <w:bottom w:w="80" w:type="dxa"/>
              <w:start w:w="120" w:type="dxa"/>
              <w:end w:w="120" w:type="dxa"/>
            </w:tcMar>
          </w:tcPr>
          <w:p>
            <w:pPr>
              <w:spacing w:after="0"/>
            </w:pPr>
            <w:r>
              <w:rPr>
                <w:rFonts w:ascii="Calibri" w:hAnsi="Calibri"/>
                <w:b/>
                <w:i w:val="0"/>
                <w:color w:val="0B2545"/>
                <w:sz w:val="17"/>
              </w:rPr>
              <w:t>Step</w:t>
            </w:r>
          </w:p>
        </w:tc>
        <w:tc>
          <w:tcPr>
            <w:tcW w:type="dxa" w:w="8710"/>
            <w:shd w:fill="F2F4F7"/>
            <w:vAlign w:val="center"/>
            <w:tcMar>
              <w:top w:w="80" w:type="dxa"/>
              <w:bottom w:w="80" w:type="dxa"/>
              <w:start w:w="120" w:type="dxa"/>
              <w:end w:w="120" w:type="dxa"/>
            </w:tcMar>
          </w:tcPr>
          <w:p>
            <w:pPr>
              <w:spacing w:after="0"/>
            </w:pPr>
            <w:r>
              <w:rPr>
                <w:rFonts w:ascii="Calibri" w:hAnsi="Calibri"/>
                <w:b/>
                <w:i w:val="0"/>
                <w:color w:val="0B2545"/>
                <w:sz w:val="17"/>
              </w:rPr>
              <w:t>Required behavior</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1</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Build the retrieval set from active holdings plus explicitly retained watch/decision positions; de-duplicate by investment identity.</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2</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After the applicable market close, request the configured quote type for each identity and record the retrieval run.</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3</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Validate price, symbol mapping, timestamp, currency and source response. Store the observation and its validation outcome.</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4</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Resolve CurrentPrice using an active approved override first; otherwise use the newest accepted automated quote for the required valuation context.</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5</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Publish success, rejected, missing and stale counts. Retain the prior accepted value as stale when refresh fails; never relabel it current.</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6</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Downstream views recalculate from the common price and carry the same as-of/freshness state.</w:t>
            </w:r>
          </w:p>
        </w:tc>
      </w:tr>
    </w:tbl>
    <w:p>
      <w:pPr>
        <w:spacing w:after="20"/>
      </w:pPr>
    </w:p>
    <w:p>
      <w:pPr>
        <w:pStyle w:val="Heading2"/>
      </w:pPr>
      <w:r>
        <w:t>4.2 Effective-price selection</w:t>
      </w:r>
    </w:p>
    <w:tbl>
      <w:tblPr>
        <w:tblStyle w:val="TableGrid"/>
        <w:tblW w:type="dxa" w:w="9360"/>
        <w:jc w:val="left"/>
        <w:tblLayout w:type="fixed"/>
        <w:tblLook w:firstColumn="1" w:firstRow="1" w:lastColumn="0" w:lastRow="0" w:noHBand="0" w:noVBand="1" w:val="04A0"/>
        <w:tblInd w:w="120" w:type="dxa"/>
      </w:tblPr>
      <w:tblGrid>
        <w:gridCol w:w="900"/>
        <w:gridCol w:w="4930"/>
        <w:gridCol w:w="3530"/>
      </w:tblGrid>
      <w:tr>
        <w:trPr>
          <w:tblHeader w:val="true"/>
          <w:cantSplit/>
        </w:trPr>
        <w:tc>
          <w:tcPr>
            <w:tcW w:type="dxa" w:w="900"/>
            <w:shd w:fill="F2F4F7"/>
            <w:vAlign w:val="center"/>
            <w:tcMar>
              <w:top w:w="80" w:type="dxa"/>
              <w:bottom w:w="80" w:type="dxa"/>
              <w:start w:w="120" w:type="dxa"/>
              <w:end w:w="120" w:type="dxa"/>
            </w:tcMar>
          </w:tcPr>
          <w:p>
            <w:pPr>
              <w:spacing w:after="0"/>
            </w:pPr>
            <w:r>
              <w:rPr>
                <w:rFonts w:ascii="Calibri" w:hAnsi="Calibri"/>
                <w:b/>
                <w:i w:val="0"/>
                <w:color w:val="0B2545"/>
                <w:sz w:val="17"/>
              </w:rPr>
              <w:t>Priority</w:t>
            </w:r>
          </w:p>
        </w:tc>
        <w:tc>
          <w:tcPr>
            <w:tcW w:type="dxa" w:w="4930"/>
            <w:shd w:fill="F2F4F7"/>
            <w:vAlign w:val="center"/>
            <w:tcMar>
              <w:top w:w="80" w:type="dxa"/>
              <w:bottom w:w="80" w:type="dxa"/>
              <w:start w:w="120" w:type="dxa"/>
              <w:end w:w="120" w:type="dxa"/>
            </w:tcMar>
          </w:tcPr>
          <w:p>
            <w:pPr>
              <w:spacing w:after="0"/>
            </w:pPr>
            <w:r>
              <w:rPr>
                <w:rFonts w:ascii="Calibri" w:hAnsi="Calibri"/>
                <w:b/>
                <w:i w:val="0"/>
                <w:color w:val="0B2545"/>
                <w:sz w:val="17"/>
              </w:rPr>
              <w:t>Selection rule</w:t>
            </w:r>
          </w:p>
        </w:tc>
        <w:tc>
          <w:tcPr>
            <w:tcW w:type="dxa" w:w="3530"/>
            <w:shd w:fill="F2F4F7"/>
            <w:vAlign w:val="center"/>
            <w:tcMar>
              <w:top w:w="80" w:type="dxa"/>
              <w:bottom w:w="80" w:type="dxa"/>
              <w:start w:w="120" w:type="dxa"/>
              <w:end w:w="120" w:type="dxa"/>
            </w:tcMar>
          </w:tcPr>
          <w:p>
            <w:pPr>
              <w:spacing w:after="0"/>
            </w:pPr>
            <w:r>
              <w:rPr>
                <w:rFonts w:ascii="Calibri" w:hAnsi="Calibri"/>
                <w:b/>
                <w:i w:val="0"/>
                <w:color w:val="0B2545"/>
                <w:sz w:val="17"/>
              </w:rPr>
              <w:t>Visible result</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1</w:t>
            </w:r>
          </w:p>
        </w:tc>
        <w:tc>
          <w:tcPr>
            <w:tcW w:type="dxa" w:w="4930"/>
            <w:vAlign w:val="center"/>
            <w:tcMar>
              <w:top w:w="80" w:type="dxa"/>
              <w:bottom w:w="80" w:type="dxa"/>
              <w:start w:w="120" w:type="dxa"/>
              <w:end w:w="120" w:type="dxa"/>
            </w:tcMar>
          </w:tcPr>
          <w:p>
            <w:pPr>
              <w:spacing w:after="0" w:line="252" w:lineRule="auto"/>
            </w:pPr>
            <w:r>
              <w:rPr>
                <w:rFonts w:ascii="Calibri" w:hAnsi="Calibri"/>
                <w:b w:val="0"/>
                <w:i w:val="0"/>
                <w:color w:val="0B2545"/>
                <w:sz w:val="17"/>
              </w:rPr>
              <w:t>Active authorized manual override within its effective window.</w:t>
            </w:r>
          </w:p>
        </w:tc>
        <w:tc>
          <w:tcPr>
            <w:tcW w:type="dxa" w:w="353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 marked Manual Override with reason and expiry.</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2</w:t>
            </w:r>
          </w:p>
        </w:tc>
        <w:tc>
          <w:tcPr>
            <w:tcW w:type="dxa" w:w="4930"/>
            <w:vAlign w:val="center"/>
            <w:tcMar>
              <w:top w:w="80" w:type="dxa"/>
              <w:bottom w:w="80" w:type="dxa"/>
              <w:start w:w="120" w:type="dxa"/>
              <w:end w:w="120" w:type="dxa"/>
            </w:tcMar>
          </w:tcPr>
          <w:p>
            <w:pPr>
              <w:spacing w:after="0" w:line="252" w:lineRule="auto"/>
            </w:pPr>
            <w:r>
              <w:rPr>
                <w:rFonts w:ascii="Calibri" w:hAnsi="Calibri"/>
                <w:b w:val="0"/>
                <w:i w:val="0"/>
                <w:color w:val="0B2545"/>
                <w:sz w:val="17"/>
              </w:rPr>
              <w:t>Newest accepted automated quote matching the valuation context.</w:t>
            </w:r>
          </w:p>
        </w:tc>
        <w:tc>
          <w:tcPr>
            <w:tcW w:type="dxa" w:w="353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 marked Current with source and as-of time.</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3</w:t>
            </w:r>
          </w:p>
        </w:tc>
        <w:tc>
          <w:tcPr>
            <w:tcW w:type="dxa" w:w="4930"/>
            <w:vAlign w:val="center"/>
            <w:tcMar>
              <w:top w:w="80" w:type="dxa"/>
              <w:bottom w:w="80" w:type="dxa"/>
              <w:start w:w="120" w:type="dxa"/>
              <w:end w:w="120" w:type="dxa"/>
            </w:tcMar>
          </w:tcPr>
          <w:p>
            <w:pPr>
              <w:spacing w:after="0" w:line="252" w:lineRule="auto"/>
            </w:pPr>
            <w:r>
              <w:rPr>
                <w:rFonts w:ascii="Calibri" w:hAnsi="Calibri"/>
                <w:b w:val="0"/>
                <w:i w:val="0"/>
                <w:color w:val="0B2545"/>
                <w:sz w:val="17"/>
              </w:rPr>
              <w:t>Prior accepted quote when today’s retrieval failed or has not completed.</w:t>
            </w:r>
          </w:p>
        </w:tc>
        <w:tc>
          <w:tcPr>
            <w:tcW w:type="dxa" w:w="3530"/>
            <w:vAlign w:val="center"/>
            <w:tcMar>
              <w:top w:w="80" w:type="dxa"/>
              <w:bottom w:w="80" w:type="dxa"/>
              <w:start w:w="120" w:type="dxa"/>
              <w:end w:w="120" w:type="dxa"/>
            </w:tcMar>
          </w:tcPr>
          <w:p>
            <w:pPr>
              <w:spacing w:after="0" w:line="252" w:lineRule="auto"/>
            </w:pPr>
            <w:r>
              <w:rPr>
                <w:rFonts w:ascii="Calibri" w:hAnsi="Calibri"/>
                <w:b w:val="0"/>
                <w:i w:val="0"/>
                <w:color w:val="0B2545"/>
                <w:sz w:val="17"/>
              </w:rPr>
              <w:t>Price returned only with Stale status and age.</w:t>
            </w:r>
          </w:p>
        </w:tc>
      </w:tr>
      <w:tr>
        <w:trPr>
          <w:cantSplit/>
        </w:trPr>
        <w:tc>
          <w:tcPr>
            <w:tcW w:type="dxa" w:w="900"/>
            <w:vAlign w:val="center"/>
            <w:tcMar>
              <w:top w:w="80" w:type="dxa"/>
              <w:bottom w:w="80" w:type="dxa"/>
              <w:start w:w="120" w:type="dxa"/>
              <w:end w:w="120" w:type="dxa"/>
            </w:tcMar>
          </w:tcPr>
          <w:p>
            <w:pPr>
              <w:spacing w:after="0" w:line="252" w:lineRule="auto"/>
            </w:pPr>
            <w:r>
              <w:rPr>
                <w:rFonts w:ascii="Calibri" w:hAnsi="Calibri"/>
                <w:b w:val="0"/>
                <w:i w:val="0"/>
                <w:color w:val="0B2545"/>
                <w:sz w:val="17"/>
              </w:rPr>
              <w:t>4</w:t>
            </w:r>
          </w:p>
        </w:tc>
        <w:tc>
          <w:tcPr>
            <w:tcW w:type="dxa" w:w="4930"/>
            <w:vAlign w:val="center"/>
            <w:tcMar>
              <w:top w:w="80" w:type="dxa"/>
              <w:bottom w:w="80" w:type="dxa"/>
              <w:start w:w="120" w:type="dxa"/>
              <w:end w:w="120" w:type="dxa"/>
            </w:tcMar>
          </w:tcPr>
          <w:p>
            <w:pPr>
              <w:spacing w:after="0" w:line="252" w:lineRule="auto"/>
            </w:pPr>
            <w:r>
              <w:rPr>
                <w:rFonts w:ascii="Calibri" w:hAnsi="Calibri"/>
                <w:b w:val="0"/>
                <w:i w:val="0"/>
                <w:color w:val="0B2545"/>
                <w:sz w:val="17"/>
              </w:rPr>
              <w:t>No accepted quote exists.</w:t>
            </w:r>
          </w:p>
        </w:tc>
        <w:tc>
          <w:tcPr>
            <w:tcW w:type="dxa" w:w="3530"/>
            <w:vAlign w:val="center"/>
            <w:tcMar>
              <w:top w:w="80" w:type="dxa"/>
              <w:bottom w:w="80" w:type="dxa"/>
              <w:start w:w="120" w:type="dxa"/>
              <w:end w:w="120" w:type="dxa"/>
            </w:tcMar>
          </w:tcPr>
          <w:p>
            <w:pPr>
              <w:spacing w:after="0" w:line="252" w:lineRule="auto"/>
            </w:pPr>
            <w:r>
              <w:rPr>
                <w:rFonts w:ascii="Calibri" w:hAnsi="Calibri"/>
                <w:b w:val="0"/>
                <w:i w:val="0"/>
                <w:color w:val="0B2545"/>
                <w:sz w:val="17"/>
              </w:rPr>
              <w:t>Explicit Unavailable status; no zero substitution and no price-derived calculation presented as valid.</w:t>
            </w:r>
          </w:p>
        </w:tc>
      </w:tr>
    </w:tbl>
    <w:p>
      <w:pPr>
        <w:spacing w:after="20"/>
      </w:pPr>
    </w:p>
    <w:p>
      <w:pPr>
        <w:pStyle w:val="Heading1"/>
      </w:pPr>
      <w:r>
        <w:t>5. Target Data Contract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bottom w:w="80" w:type="dxa"/>
              <w:start w:w="120" w:type="dxa"/>
              <w:end w:w="120" w:type="dxa"/>
            </w:tcMar>
          </w:tcPr>
          <w:p>
            <w:pPr>
              <w:spacing w:after="0"/>
            </w:pPr>
            <w:r>
              <w:rPr>
                <w:rFonts w:ascii="Calibri" w:hAnsi="Calibri"/>
                <w:b/>
                <w:i w:val="0"/>
                <w:color w:val="0B2545"/>
                <w:sz w:val="16"/>
              </w:rPr>
              <w:t>Entity/view</w:t>
            </w:r>
          </w:p>
        </w:tc>
        <w:tc>
          <w:tcPr>
            <w:tcW w:type="dxa" w:w="6960"/>
            <w:shd w:fill="F2F4F7"/>
            <w:vAlign w:val="center"/>
            <w:tcMar>
              <w:top w:w="80" w:type="dxa"/>
              <w:bottom w:w="80" w:type="dxa"/>
              <w:start w:w="120" w:type="dxa"/>
              <w:end w:w="120" w:type="dxa"/>
            </w:tcMar>
          </w:tcPr>
          <w:p>
            <w:pPr>
              <w:spacing w:after="0"/>
            </w:pPr>
            <w:r>
              <w:rPr>
                <w:rFonts w:ascii="Calibri" w:hAnsi="Calibri"/>
                <w:b/>
                <w:i w:val="0"/>
                <w:color w:val="0B2545"/>
                <w:sz w:val="16"/>
              </w:rPr>
              <w:t>Required fields</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6"/>
              </w:rPr>
              <w:t>PriceQuote</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6"/>
              </w:rPr>
              <w:t>price_quote_id; investment_id; raw_source_symbol; price; currency; quote_type; market_date; as_of_at; retrieved_at; source; validation_status; validation_detail; retrieval_run_id; created_at.</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6"/>
              </w:rPr>
              <w:t>ManualPriceOverride</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6"/>
              </w:rPr>
              <w:t>override_id; investment_id; price; currency; effective_from; expires_at; reason; entered_by; entered_at; status; superseded_by.</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6"/>
              </w:rPr>
              <w:t>PriceRetrievalRun</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6"/>
              </w:rPr>
              <w:t>run_id; scheduled_for; started_at; completed_at; market/calendar context; source; requested_count; accepted_count; rejected_count; missing_count; run_status; error summary.</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6"/>
              </w:rPr>
              <w:t>CurrentPrice view</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investment_id; current symbol; price; currency; quote_type; market_date; as_of_at; source; freshness_status; age; is_override; override reason; quote/override reference.</w:t>
            </w:r>
          </w:p>
        </w:tc>
      </w:tr>
      <w:tr>
        <w:trPr>
          <w:cantSplit/>
        </w:trPr>
        <w:tc>
          <w:tcPr>
            <w:tcW w:type="dxa" w:w="2400"/>
            <w:vAlign w:val="center"/>
            <w:tcMar>
              <w:top w:w="80" w:type="dxa"/>
              <w:bottom w:w="80" w:type="dxa"/>
              <w:start w:w="120" w:type="dxa"/>
              <w:end w:w="120" w:type="dxa"/>
            </w:tcMar>
          </w:tcPr>
          <w:p>
            <w:pPr>
              <w:spacing w:after="0" w:line="252" w:lineRule="auto"/>
            </w:pPr>
            <w:r>
              <w:rPr>
                <w:rFonts w:ascii="Calibri" w:hAnsi="Calibri"/>
                <w:b w:val="0"/>
                <w:i w:val="0"/>
                <w:color w:val="0B2545"/>
                <w:sz w:val="16"/>
              </w:rPr>
              <w:t>PriceSourceSymbolMap</w:t>
            </w:r>
          </w:p>
        </w:tc>
        <w:tc>
          <w:tcPr>
            <w:tcW w:type="dxa" w:w="6960"/>
            <w:vAlign w:val="center"/>
            <w:tcMar>
              <w:top w:w="80" w:type="dxa"/>
              <w:bottom w:w="80" w:type="dxa"/>
              <w:start w:w="120" w:type="dxa"/>
              <w:end w:w="120" w:type="dxa"/>
            </w:tcMar>
          </w:tcPr>
          <w:p>
            <w:pPr>
              <w:spacing w:after="0" w:line="252" w:lineRule="auto"/>
            </w:pPr>
            <w:r>
              <w:rPr>
                <w:rFonts w:ascii="Calibri" w:hAnsi="Calibri"/>
                <w:b w:val="0"/>
                <w:i w:val="0"/>
                <w:color w:val="0B2545"/>
                <w:sz w:val="16"/>
              </w:rPr>
              <w:t>investment_id; source; source_symbol; effective_from; effective_to; verified status. Supports ticker changes and provider-specific syntax.</w:t>
            </w:r>
          </w:p>
        </w:tc>
      </w:tr>
    </w:tbl>
    <w:p>
      <w:pPr>
        <w:spacing w:after="20"/>
      </w:pPr>
    </w:p>
    <w:p>
      <w:pPr>
        <w:pStyle w:val="SmallNote"/>
      </w:pPr>
      <w:r>
        <w:rPr>
          <w:rFonts w:ascii="Calibri" w:hAnsi="Calibri"/>
          <w:b w:val="0"/>
          <w:i w:val="0"/>
          <w:color w:val="0B2545"/>
          <w:sz w:val="22"/>
        </w:rPr>
        <w:t>Price precision is stored as decimal rather than binary floating point. Currency and quote type are mandatory so unlike values are not silently compared. Freshness is derived from the applicable market calendar and configurable threshold; it is not a manually maintained label.</w:t>
      </w:r>
    </w:p>
    <w:p>
      <w:pPr>
        <w:pStyle w:val="Heading1"/>
      </w:pPr>
      <w:r>
        <w:t>6. Complete Target Requirements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vAlign w:val="center"/>
            <w:tcMar>
              <w:top w:w="80" w:type="dxa"/>
              <w:bottom w:w="80" w:type="dxa"/>
              <w:start w:w="120" w:type="dxa"/>
              <w:end w:w="120" w:type="dxa"/>
            </w:tcMar>
          </w:tcPr>
          <w:p>
            <w:pPr>
              <w:spacing w:after="0"/>
            </w:pPr>
            <w:r>
              <w:rPr>
                <w:rFonts w:ascii="Calibri" w:hAnsi="Calibri"/>
                <w:b/>
                <w:i w:val="0"/>
                <w:color w:val="0B2545"/>
                <w:sz w:val="17"/>
              </w:rPr>
              <w:t>ID</w:t>
            </w:r>
          </w:p>
        </w:tc>
        <w:tc>
          <w:tcPr>
            <w:tcW w:type="dxa" w:w="8060"/>
            <w:shd w:fill="F2F4F7"/>
            <w:vAlign w:val="center"/>
            <w:tcMar>
              <w:top w:w="80" w:type="dxa"/>
              <w:bottom w:w="80" w:type="dxa"/>
              <w:start w:w="120" w:type="dxa"/>
              <w:end w:w="120" w:type="dxa"/>
            </w:tcMar>
          </w:tcPr>
          <w:p>
            <w:pPr>
              <w:spacing w:after="0"/>
            </w:pPr>
            <w:r>
              <w:rPr>
                <w:rFonts w:ascii="Calibri" w:hAnsi="Calibri"/>
                <w:b/>
                <w:i w:val="0"/>
                <w:color w:val="0B2545"/>
                <w:sz w:val="17"/>
              </w:rPr>
              <w:t>Requirement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TR-LP-01</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Use immutable investment_id as the price key; preserve effective-dated ticker and source-symbol mappings.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TR-LP-02</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Automate the price update on each applicable business day and support an authorized on-demand retry.</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TR-LP-03</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Retain every quote observation with price, currency, quote type, market/as-of time, retrieval time, source and validation result.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TR-LP-04</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Reject missing, nonnumeric, nonpositive and identity-mismatched responses. Do not promote a rejected quote to CurrentPrice.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TR-LP-05</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Apply configurable unusual-move checks as warnings requiring review; do not silently discard a valid market move solely because it is large.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TR-LP-06</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Provide a day-one manual override with reason, user, effective time, expiry/supersession and complete audit history.</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TR-LP-07</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Select at most one effective CurrentPrice per investment and valuation context using the documented priority rules.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TR-LP-08</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When refresh fails, retain the prior accepted price with explicit Stale status and age. Never default price to zero.</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TR-LP-09</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Expose Unavailable when no accepted quote exists and block or clearly invalidate dependent price calculations.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TR-LP-10</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Make Holdings, Calculator, Position Details, Shopping Cart, Allocations and Dashboard consume the common CurrentPrice contract.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TR-LP-11</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Show price source, as-of time and stale/override state anywhere a valuation or price-derived decision is presented.</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TR-LP-12</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Retain quote history sufficient for audit and as-of valuation. Backtesting may use a dedicated historical-price series but must share investment identity and price methodology.</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TR-LP-13</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Support applicable exchange/market calendars and instrument-specific freshness rules without changing the consumer contract.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TR-LP-14</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Record run-level requested, accepted, rejected, missing and stale counts and expose failures for review.</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TR-LP-15</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Prevent duplicate accepted observations for the same investment, source, quote type and as-of instant.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TR-LP-16</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Use decimal price precision and explicit currency; do not perform cross-currency portfolio totals without an identified conversion rate and as-of time.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TR-LP-17</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Do not store current price as a Position or Lot attribute; provide it as a time-stamped market-data fact/view.</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TR-LP-18</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Allow inactive positions to retain historical quotes while excluding them from routine refresh unless explicitly included for analysis.</w:t>
            </w:r>
          </w:p>
        </w:tc>
      </w:tr>
    </w:tbl>
    <w:p>
      <w:pPr>
        <w:spacing w:after="20"/>
      </w:pPr>
    </w:p>
    <w:p>
      <w:pPr>
        <w:pStyle w:val="Heading1"/>
      </w:pPr>
      <w:r>
        <w:t>7. Migration and Cutover</w:t>
      </w:r>
    </w:p>
    <w:tbl>
      <w:tblPr>
        <w:tblStyle w:val="TableGrid"/>
        <w:tblW w:type="dxa" w:w="9360"/>
        <w:jc w:val="left"/>
        <w:tblLayout w:type="fixed"/>
        <w:tblLook w:firstColumn="1" w:firstRow="1" w:lastColumn="0" w:lastRow="0" w:noHBand="0" w:noVBand="1" w:val="04A0"/>
        <w:tblInd w:w="120" w:type="dxa"/>
      </w:tblPr>
      <w:tblGrid>
        <w:gridCol w:w="650"/>
        <w:gridCol w:w="8710"/>
      </w:tblGrid>
      <w:tr>
        <w:trPr>
          <w:tblHeader w:val="true"/>
          <w:cantSplit/>
        </w:trPr>
        <w:tc>
          <w:tcPr>
            <w:tcW w:type="dxa" w:w="650"/>
            <w:shd w:fill="F2F4F7"/>
            <w:vAlign w:val="center"/>
            <w:tcMar>
              <w:top w:w="80" w:type="dxa"/>
              <w:bottom w:w="80" w:type="dxa"/>
              <w:start w:w="120" w:type="dxa"/>
              <w:end w:w="120" w:type="dxa"/>
            </w:tcMar>
          </w:tcPr>
          <w:p>
            <w:pPr>
              <w:spacing w:after="0"/>
            </w:pPr>
            <w:r>
              <w:rPr>
                <w:rFonts w:ascii="Calibri" w:hAnsi="Calibri"/>
                <w:b/>
                <w:i w:val="0"/>
                <w:color w:val="0B2545"/>
                <w:sz w:val="17"/>
              </w:rPr>
              <w:t>Step</w:t>
            </w:r>
          </w:p>
        </w:tc>
        <w:tc>
          <w:tcPr>
            <w:tcW w:type="dxa" w:w="8710"/>
            <w:shd w:fill="F2F4F7"/>
            <w:vAlign w:val="center"/>
            <w:tcMar>
              <w:top w:w="80" w:type="dxa"/>
              <w:bottom w:w="80" w:type="dxa"/>
              <w:start w:w="120" w:type="dxa"/>
              <w:end w:w="120" w:type="dxa"/>
            </w:tcMar>
          </w:tcPr>
          <w:p>
            <w:pPr>
              <w:spacing w:after="0"/>
            </w:pPr>
            <w:r>
              <w:rPr>
                <w:rFonts w:ascii="Calibri" w:hAnsi="Calibri"/>
                <w:b/>
                <w:i w:val="0"/>
                <w:color w:val="0B2545"/>
                <w:sz w:val="17"/>
              </w:rPr>
              <w:t>Migration requirement</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1</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Extract A2:B71 exactly as legacy observations; preserve the workbook symbol, value and source coordinates.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2</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Map each of the 70 symbols to an investment identity. Resolve symbol collisions or historical ticker changes before load.</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3</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Mark imported prices as Legacy Manual with as_of_unknown; do not invent a date, source or current status.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4</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Do not migrate empty C2:D71. Retire the duplicate C1:D1 headers.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5</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Configure the initial source adapter, symbol mappings, business-day schedule, quote type and freshness thresholds.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6</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Run automated retrieval in parallel with the workbook and reconcile every active holding before cutover.</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7</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Redirect all direct and indirect price consumers to CurrentPrice. Remove RTD and Last Price range lookups only after reconciliation passes.</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8</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Enable manual override and monitoring before automated prices become authoritative.</w:t>
            </w:r>
          </w:p>
        </w:tc>
      </w:tr>
      <w:tr>
        <w:trPr>
          <w:cantSplit/>
        </w:trPr>
        <w:tc>
          <w:tcPr>
            <w:tcW w:type="dxa" w:w="650"/>
            <w:vAlign w:val="center"/>
            <w:tcMar>
              <w:top w:w="80" w:type="dxa"/>
              <w:bottom w:w="80" w:type="dxa"/>
              <w:start w:w="120" w:type="dxa"/>
              <w:end w:w="120" w:type="dxa"/>
            </w:tcMar>
          </w:tcPr>
          <w:p>
            <w:pPr>
              <w:spacing w:after="0" w:line="252" w:lineRule="auto"/>
            </w:pPr>
            <w:r>
              <w:rPr>
                <w:rFonts w:ascii="Calibri" w:hAnsi="Calibri"/>
                <w:b w:val="0"/>
                <w:i w:val="0"/>
                <w:color w:val="0B2545"/>
                <w:sz w:val="17"/>
              </w:rPr>
              <w:t>9</w:t>
            </w:r>
          </w:p>
        </w:tc>
        <w:tc>
          <w:tcPr>
            <w:tcW w:type="dxa" w:w="8710"/>
            <w:vAlign w:val="center"/>
            <w:tcMar>
              <w:top w:w="80" w:type="dxa"/>
              <w:bottom w:w="80" w:type="dxa"/>
              <w:start w:w="120" w:type="dxa"/>
              <w:end w:w="120" w:type="dxa"/>
            </w:tcMar>
          </w:tcPr>
          <w:p>
            <w:pPr>
              <w:spacing w:after="0" w:line="252" w:lineRule="auto"/>
            </w:pPr>
            <w:r>
              <w:rPr>
                <w:rFonts w:ascii="Calibri" w:hAnsi="Calibri"/>
                <w:b w:val="0"/>
                <w:i w:val="0"/>
                <w:color w:val="0B2545"/>
                <w:sz w:val="17"/>
              </w:rPr>
              <w:t>Freeze the sheet as read-only historical evidence or retire it after a documented rollback period.</w:t>
            </w:r>
          </w:p>
        </w:tc>
      </w:tr>
    </w:tbl>
    <w:p>
      <w:pPr>
        <w:spacing w:after="20"/>
      </w:pPr>
    </w:p>
    <w:p>
      <w:pPr>
        <w:pStyle w:val="Heading1"/>
      </w:pPr>
      <w:r>
        <w:t>8. Acceptance Criteria</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vAlign w:val="center"/>
            <w:tcMar>
              <w:top w:w="80" w:type="dxa"/>
              <w:bottom w:w="80" w:type="dxa"/>
              <w:start w:w="120" w:type="dxa"/>
              <w:end w:w="120" w:type="dxa"/>
            </w:tcMar>
          </w:tcPr>
          <w:p>
            <w:pPr>
              <w:spacing w:after="0"/>
            </w:pPr>
            <w:r>
              <w:rPr>
                <w:rFonts w:ascii="Calibri" w:hAnsi="Calibri"/>
                <w:b/>
                <w:i w:val="0"/>
                <w:color w:val="0B2545"/>
                <w:sz w:val="17"/>
              </w:rPr>
              <w:t>ID</w:t>
            </w:r>
          </w:p>
        </w:tc>
        <w:tc>
          <w:tcPr>
            <w:tcW w:type="dxa" w:w="8060"/>
            <w:shd w:fill="F2F4F7"/>
            <w:vAlign w:val="center"/>
            <w:tcMar>
              <w:top w:w="80" w:type="dxa"/>
              <w:bottom w:w="80" w:type="dxa"/>
              <w:start w:w="120" w:type="dxa"/>
              <w:end w:w="120" w:type="dxa"/>
            </w:tcMar>
          </w:tcPr>
          <w:p>
            <w:pPr>
              <w:spacing w:after="0"/>
            </w:pPr>
            <w:r>
              <w:rPr>
                <w:rFonts w:ascii="Calibri" w:hAnsi="Calibri"/>
                <w:b/>
                <w:i w:val="0"/>
                <w:color w:val="0B2545"/>
                <w:sz w:val="17"/>
              </w:rPr>
              <w:t>Acceptance criterion</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AC-LP-01</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All active holdings and designated decision positions resolve to exactly one CurrentPrice or an explicit Unavailable status.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AC-LP-02</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 completed business-day run records requested, accepted, rejected and missing counts that reconcile to the retrieval set.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AC-LP-03</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Every current price displays or exposes price, currency, quote type, source, market/as-of time, retrieval time and freshness status.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AC-LP-04</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 failed update leaves the last accepted observation intact but visibly stale; it never creates a zero price.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AC-LP-05</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 manual override immediately becomes effective within its window, is visibly labeled, and leaves the automated quote history unchanged.</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AC-LP-06</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An expired or superseded override no longer wins CurrentPrice selection and remains auditable.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AC-LP-07</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Holdings market value equals open quantity multiplied by the selected CurrentPrice for the same valuation context.</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AC-LP-08</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Calculator and Position Details price-based yields use the same price and as-of state as Holdings.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AC-LP-09</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Shopping Cart, Allocations and Dashboard valuation results reconcile to the common CurrentPrice source.</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AC-LP-10</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Invalid and identity-mismatched source responses are stored as failures and cannot become effective prices.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AC-LP-11</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The 70 legacy symbol/price pairs are retained as Legacy Manual observations with unknown as-of metadata, not represented as verified current quotes.</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AC-LP-12</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No production formula or application component reads the retired workbook range or Thinkorswim RTD after cutover.</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AC-LP-13</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Prior as-of valuations can identify the exact quote observation used.</w:t>
            </w:r>
          </w:p>
        </w:tc>
      </w:tr>
      <w:tr>
        <w:trPr>
          <w:cantSplit/>
        </w:trPr>
        <w:tc>
          <w:tcPr>
            <w:tcW w:type="dxa" w:w="1300"/>
            <w:vAlign w:val="center"/>
            <w:tcMar>
              <w:top w:w="80" w:type="dxa"/>
              <w:bottom w:w="80" w:type="dxa"/>
              <w:start w:w="120" w:type="dxa"/>
              <w:end w:w="120" w:type="dxa"/>
            </w:tcMar>
          </w:tcPr>
          <w:p>
            <w:pPr>
              <w:spacing w:after="0" w:line="252" w:lineRule="auto"/>
            </w:pPr>
            <w:r>
              <w:rPr>
                <w:rFonts w:ascii="Calibri" w:hAnsi="Calibri"/>
                <w:b w:val="0"/>
                <w:i w:val="0"/>
                <w:color w:val="0B2545"/>
                <w:sz w:val="17"/>
              </w:rPr>
              <w:t>AC-LP-14</w:t>
            </w:r>
          </w:p>
        </w:tc>
        <w:tc>
          <w:tcPr>
            <w:tcW w:type="dxa" w:w="8060"/>
            <w:vAlign w:val="center"/>
            <w:tcMar>
              <w:top w:w="80" w:type="dxa"/>
              <w:bottom w:w="80" w:type="dxa"/>
              <w:start w:w="120" w:type="dxa"/>
              <w:end w:w="120" w:type="dxa"/>
            </w:tcMar>
          </w:tcPr>
          <w:p>
            <w:pPr>
              <w:spacing w:after="0" w:line="252" w:lineRule="auto"/>
            </w:pPr>
            <w:r>
              <w:rPr>
                <w:rFonts w:ascii="Calibri" w:hAnsi="Calibri"/>
                <w:b w:val="0"/>
                <w:i w:val="0"/>
                <w:color w:val="0B2545"/>
                <w:sz w:val="17"/>
              </w:rPr>
              <w:t>Changing a provider adapter or source-symbol mapping does not require changes to downstream consumer calculations.</w:t>
            </w:r>
          </w:p>
        </w:tc>
      </w:tr>
    </w:tbl>
    <w:p>
      <w:pPr>
        <w:spacing w:after="20"/>
      </w:pPr>
    </w:p>
    <w:p>
      <w:pPr>
        <w:pStyle w:val="Heading1"/>
      </w:pPr>
      <w:r>
        <w:t>9. Design Completion Statement</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120" w:type="dxa"/>
              <w:bottom w:w="120" w:type="dxa"/>
              <w:start w:w="150" w:type="dxa"/>
              <w:end w:w="150" w:type="dxa"/>
            </w:tcMar>
            <w:shd w:fill="EAF4E2"/>
          </w:tcPr>
          <w:p>
            <w:pPr>
              <w:spacing w:after="0"/>
            </w:pPr>
            <w:r>
              <w:rPr>
                <w:rFonts w:ascii="Calibri" w:hAnsi="Calibri"/>
                <w:b/>
                <w:i w:val="0"/>
                <w:color w:val="315B24"/>
                <w:sz w:val="22"/>
              </w:rPr>
              <w:t xml:space="preserve">APPROVED — TARGET DESIGN COMPLETE: </w:t>
            </w:r>
            <w:r>
              <w:rPr>
                <w:rFonts w:ascii="Calibri" w:hAnsi="Calibri"/>
                <w:b w:val="0"/>
                <w:i w:val="0"/>
                <w:color w:val="315B24"/>
                <w:sz w:val="22"/>
              </w:rPr>
              <w:t>The Last Price domain is fully specified for target architecture and implementation. Its purpose, current-state evidence, data ownership, update cadence, validation, stale behavior, override behavior, downstream contract, migration and acceptance tests are defined. No additional owner clarification is required to design or build this capability.</w:t>
            </w:r>
          </w:p>
        </w:tc>
      </w:tr>
    </w:tbl>
    <w:p>
      <w:pPr>
        <w:spacing w:after="20"/>
      </w:pPr>
    </w:p>
    <w:p>
      <w:r>
        <w:rPr>
          <w:rFonts w:ascii="Calibri" w:hAnsi="Calibri"/>
          <w:b w:val="0"/>
          <w:i w:val="0"/>
          <w:color w:val="0B2545"/>
          <w:sz w:val="22"/>
        </w:rPr>
        <w:t>The future implementation may still select or replace a market-data provider, schedule time and operational thresholds. Those are configuration and delivery decisions inside the completed architecture; they do not reopen the business design. The simple governing rule remains: one effective current price per investment, obtained automatically each business day, with transparent freshness and a controlled manual fallback.</w:t>
      </w:r>
    </w:p>
    <w:p>
      <w:r>
        <w:rPr>
          <w:rFonts w:ascii="Arial" w:hAnsi="Arial" w:eastAsia="Arial"/>
          <w:b w:val="0"/>
          <w:i w:val="0"/>
          <w:sz w:val="20"/>
        </w:rPr>
      </w:r>
    </w:p>
    <w:p>
      <w:r>
        <w:rPr>
          <w:rFonts w:ascii="Arial" w:hAnsi="Arial" w:eastAsia="Arial"/>
          <w:b/>
          <w:i w:val="0"/>
          <w:color w:val="1F4E79"/>
          <w:sz w:val="24"/>
        </w:rPr>
        <w:t>PROJECT STORE NOTE — 13 Aug 2026</w:t>
      </w:r>
    </w:p>
    <w:p>
      <w:r>
        <w:rPr>
          <w:rFonts w:ascii="Arial" w:hAnsi="Arial" w:eastAsia="Arial"/>
          <w:b w:val="0"/>
          <w:i/>
          <w:sz w:val="20"/>
        </w:rPr>
        <w:t>Stored as project artifact Last_Price_Target_Architecture_v1.0_2026-08-13.docx. Status per source document: DESIGN COMPLETE — approved foundation for implementation. No additional owner clarification required to design or build CurrentPrice / PriceQuote capability.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val="0"/>
        <w:i w:val="0"/>
        <w:color w:val="5B6573"/>
        <w:sz w:val="18"/>
      </w:rPr>
      <w:t>Finance Management Application | Last Price Domain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Price Domain — Complete Target Architecture</dc:title>
  <dc:subject>Finance Management Application design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