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B2545"/>
          <w:sz w:val="46"/>
        </w:rPr>
        <w:t>POSITION DETAILS DOMAIN</w:t>
      </w:r>
    </w:p>
    <w:p>
      <w:pPr>
        <w:spacing w:after="280"/>
      </w:pPr>
      <w:r>
        <w:rPr>
          <w:rFonts w:ascii="Calibri" w:hAnsi="Calibri"/>
          <w:color w:val="666666"/>
          <w:sz w:val="28"/>
        </w:rPr>
        <w:t>Complete Current Architecture, Formula Reverse Engineering, Backtesting Design, Target Requirements and Migration Plan</w:t>
      </w:r>
    </w:p>
    <w:p>
      <w:pPr>
        <w:spacing w:after="40"/>
      </w:pPr>
      <w:r>
        <w:rPr>
          <w:rFonts w:ascii="Calibri" w:hAnsi="Calibri"/>
          <w:b/>
          <w:sz w:val="22"/>
        </w:rPr>
        <w:t xml:space="preserve">Status: </w:t>
      </w:r>
      <w:r>
        <w:rPr>
          <w:rFonts w:ascii="Calibri" w:hAnsi="Calibri"/>
          <w:sz w:val="22"/>
        </w:rPr>
        <w:t>Authoritative working foundation for application design</w:t>
      </w:r>
    </w:p>
    <w:p>
      <w:pPr>
        <w:spacing w:after="40"/>
      </w:pPr>
      <w:r>
        <w:rPr>
          <w:rFonts w:ascii="Calibri" w:hAnsi="Calibri"/>
          <w:b/>
          <w:sz w:val="22"/>
        </w:rPr>
        <w:t xml:space="preserve">Source workbook: </w:t>
      </w:r>
      <w:r>
        <w:rPr>
          <w:rFonts w:ascii="Calibri" w:hAnsi="Calibri"/>
          <w:sz w:val="22"/>
        </w:rPr>
        <w:t>2026-tracking spreadseet.xlsb - Position details table A1:AI43</w:t>
      </w:r>
    </w:p>
    <w:p>
      <w:pPr>
        <w:spacing w:after="40"/>
      </w:pPr>
      <w:r>
        <w:rPr>
          <w:rFonts w:ascii="Calibri" w:hAnsi="Calibri"/>
          <w:b/>
          <w:sz w:val="22"/>
        </w:rPr>
        <w:t xml:space="preserve">Source requirements: </w:t>
      </w:r>
      <w:r>
        <w:rPr>
          <w:rFonts w:ascii="Calibri" w:hAnsi="Calibri"/>
          <w:sz w:val="22"/>
        </w:rPr>
        <w:t>Position_Details_Current_Architecture_and_Target_Requirements_2026-08-12.docx</w:t>
      </w:r>
    </w:p>
    <w:p>
      <w:pPr>
        <w:spacing w:after="40"/>
      </w:pPr>
      <w:r>
        <w:rPr>
          <w:rFonts w:ascii="Calibri" w:hAnsi="Calibri"/>
          <w:b/>
          <w:sz w:val="22"/>
        </w:rPr>
        <w:t xml:space="preserve">Reverse-engineered: </w:t>
      </w:r>
      <w:r>
        <w:rPr>
          <w:rFonts w:ascii="Calibri" w:hAnsi="Calibri"/>
          <w:sz w:val="22"/>
        </w:rPr>
        <w:t>13 August 2026</w:t>
      </w:r>
    </w:p>
    <w:p>
      <w:pPr>
        <w:spacing w:after="40"/>
      </w:pPr>
      <w:r>
        <w:rPr>
          <w:rFonts w:ascii="Calibri" w:hAnsi="Calibri"/>
          <w:b/>
          <w:sz w:val="22"/>
        </w:rPr>
        <w:t xml:space="preserve">Scope: </w:t>
      </w:r>
      <w:r>
        <w:rPr>
          <w:rFonts w:ascii="Calibri" w:hAnsi="Calibri"/>
          <w:sz w:val="22"/>
        </w:rPr>
        <w:t>41 position rows, 35 table fields, totals row, dependencies and decision logic</w:t>
      </w:r>
    </w:p>
    <w:p>
      <w:pPr>
        <w:spacing w:after="40"/>
      </w:pPr>
    </w:p>
    <w:p>
      <w:pPr>
        <w:spacing w:before="80" w:after="160"/>
        <w:ind w:left="115" w:right="115"/>
        <w:shd w:fill="E2F0D9"/>
      </w:pPr>
      <w:r>
        <w:rPr>
          <w:rFonts w:ascii="Calibri" w:hAnsi="Calibri"/>
          <w:b/>
          <w:color w:val="0B2545"/>
          <w:sz w:val="22"/>
        </w:rPr>
        <w:t xml:space="preserve">Disposition: </w:t>
      </w:r>
      <w:r>
        <w:rPr>
          <w:rFonts w:ascii="Calibri" w:hAnsi="Calibri"/>
          <w:color w:val="0B2545"/>
          <w:sz w:val="22"/>
        </w:rPr>
        <w:t>This document supersedes the earlier Position Master working draft. It is complete enough to drive application-domain and database design. Items that cannot be proven from the workbook are explicitly marked as legacy unknowns; they are not delegated to developers as hidden business decisions.</w:t>
      </w:r>
    </w:p>
    <w:p>
      <w:pPr>
        <w:pStyle w:val="Heading1"/>
      </w:pPr>
      <w:r>
        <w:t>1. Executive Characterization</w:t>
      </w:r>
    </w:p>
    <w:p>
      <w:r>
        <w:rPr>
          <w:rFonts w:ascii="Calibri" w:hAnsi="Calibri"/>
          <w:sz w:val="22"/>
        </w:rPr>
        <w:t>Position Details is a symbol-level decision-support surface, not merely a security master. It combines static position characteristics, current portfolio aggregation, income-plan analytics, account concentration, tax and payment-pattern notes, and manually researched bull/bear evidence. The future application should preserve that integrated user experience while separating its underlying facts into appropriate authoritative domains.</w:t>
      </w:r>
    </w:p>
    <w:p>
      <w:r>
        <w:rPr>
          <w:rFonts w:ascii="Calibri" w:hAnsi="Calibri"/>
          <w:sz w:val="22"/>
        </w:rPr>
        <w:t>The table currently contains 41 symbol rows and 35 columns. One row represents a symbol consolidated across all accounts. The table includes 15 Foundation, 15 Core and 11 Risk On rows. Its live formulas depend primarily on Holdings, Calculator/Dividend_History, Last Price and Thinkorswim RTD.</w:t>
      </w:r>
    </w:p>
    <w:p>
      <w:pPr>
        <w:spacing w:before="80" w:after="160"/>
        <w:ind w:left="115" w:right="115"/>
        <w:shd w:fill="E8EEF5"/>
      </w:pPr>
      <w:r>
        <w:rPr>
          <w:rFonts w:ascii="Calibri" w:hAnsi="Calibri"/>
          <w:b/>
          <w:color w:val="0B2545"/>
          <w:sz w:val="22"/>
        </w:rPr>
        <w:t xml:space="preserve">Central design decision: </w:t>
      </w:r>
      <w:r>
        <w:rPr>
          <w:rFonts w:ascii="Calibri" w:hAnsi="Calibri"/>
          <w:color w:val="0B2545"/>
          <w:sz w:val="22"/>
        </w:rPr>
        <w:t>Position is the durable identity and classification domain. Quantity, cost, account splits, prices, yields, realized income and backtesting results are joined or calculated views. They are displayed together but are not all stored as columns on one Position record.</w:t>
      </w:r>
    </w:p>
    <w:p>
      <w:pPr>
        <w:pStyle w:val="Heading1"/>
      </w:pPr>
      <w:r>
        <w:t>2. Confirmed Business Purpose and Rules</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cantSplit/>
        </w:trPr>
        <w:tc>
          <w:tcPr>
            <w:tcW w:type="dxa" w:w="1300"/>
            <w:shd w:fill="F2F4F7"/>
            <w:tcMar>
              <w:top w:w="80" w:type="dxa"/>
              <w:start w:w="120" w:type="dxa"/>
              <w:bottom w:w="80" w:type="dxa"/>
              <w:end w:w="120" w:type="dxa"/>
            </w:tcMar>
            <w:vAlign w:val="center"/>
          </w:tcPr>
          <w:p>
            <w:pPr>
              <w:spacing w:after="0"/>
            </w:pPr>
            <w:r>
              <w:rPr>
                <w:rFonts w:ascii="Calibri" w:hAnsi="Calibri"/>
                <w:b/>
                <w:color w:val="0B2545"/>
                <w:sz w:val="18"/>
              </w:rPr>
              <w:t>ID</w:t>
            </w:r>
          </w:p>
        </w:tc>
        <w:tc>
          <w:tcPr>
            <w:tcW w:type="dxa" w:w="8060"/>
            <w:shd w:fill="F2F4F7"/>
            <w:tcMar>
              <w:top w:w="80" w:type="dxa"/>
              <w:start w:w="120" w:type="dxa"/>
              <w:bottom w:w="80" w:type="dxa"/>
              <w:end w:w="120" w:type="dxa"/>
            </w:tcMar>
            <w:vAlign w:val="center"/>
          </w:tcPr>
          <w:p>
            <w:pPr>
              <w:spacing w:after="0"/>
            </w:pPr>
            <w:r>
              <w:rPr>
                <w:rFonts w:ascii="Calibri" w:hAnsi="Calibri"/>
                <w:b/>
                <w:color w:val="0B2545"/>
                <w:sz w:val="18"/>
              </w:rPr>
              <w:t>Confirmed requirement</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PD-BR-01</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Maintain one durable investment identity and characterization shared by every lot and account.</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PD-BR-02</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Support income reliability and principal preservation decisions, not total return alone.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PD-BR-03</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Use manually identified bull, bear, recovery or stress periods as approved backtesting periods. Automate calculations after the period is defined; do not require an algorithm to declare the market regime.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PD-BR-04</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Keep price return and total economic return distinct so distributions do not hide NAV or price erosion.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PD-BR-05</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Use 52/12/4 as normalized planning periods for weekly/monthly/quarterly positions. Actual payment events remain calendar events.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PD-BR-06</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Plan authority belongs to effective-dated PlanHistory. Position and Lot never own or rewrite Plan.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PD-BR-07</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Broker-paid income belongs to the permanent Investment Activity Ledger using the specific activity type Dividend or another explicitly classified income type.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PD-BR-08</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Original acquisition cost is the authoritative economic basis for performance, yield-on-cost, cost-recovery and cross-position comparisons. ROC-adjusted basis is separate and restricted to taxable-account sale and tax planning.</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PD-BR-09</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Risk classification must be historically preserved and ultimately rule-supported. The current live labels are imported without silently renaming Risk On.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PD-BR-10</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Position Details must show data completeness and provenance. Missing evidence must not improve a score merely because Excel ignores blanks.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8"/>
              </w:rPr>
              <w:t>PD-BR-11</w:t>
            </w:r>
          </w:p>
        </w:tc>
        <w:tc>
          <w:tcPr>
            <w:tcW w:type="dxa" w:w="8060"/>
            <w:tcMar>
              <w:top w:w="80" w:type="dxa"/>
              <w:start w:w="120" w:type="dxa"/>
              <w:bottom w:w="80" w:type="dxa"/>
              <w:end w:w="120" w:type="dxa"/>
            </w:tcMar>
            <w:vAlign w:val="center"/>
          </w:tcPr>
          <w:p>
            <w:pPr>
              <w:spacing w:after="0" w:line="240" w:lineRule="auto"/>
            </w:pPr>
            <w:r>
              <w:rPr>
                <w:rFonts w:ascii="Calibri" w:hAnsi="Calibri"/>
                <w:sz w:val="18"/>
              </w:rPr>
              <w:t>Count every received distribution once in lifetime economic performance, including an amount later characterized as ROC. Do not also reduce the economic-cost denominator for ROC; that would double-count its economic effect.</w:t>
            </w:r>
          </w:p>
        </w:tc>
      </w:tr>
    </w:tbl>
    <w:p>
      <w:pPr>
        <w:spacing w:after="0"/>
      </w:pPr>
    </w:p>
    <w:p>
      <w:pPr>
        <w:spacing w:before="80" w:after="160"/>
        <w:ind w:left="115" w:right="115"/>
        <w:shd w:fill="E8EEF5"/>
      </w:pPr>
      <w:r>
        <w:rPr>
          <w:rFonts w:ascii="Calibri" w:hAnsi="Calibri"/>
          <w:b/>
          <w:color w:val="0B2545"/>
          <w:sz w:val="22"/>
        </w:rPr>
        <w:t xml:space="preserve">ROC basis decision: </w:t>
      </w:r>
      <w:r>
        <w:rPr>
          <w:rFonts w:ascii="Calibri" w:hAnsi="Calibri"/>
          <w:color w:val="0B2545"/>
          <w:sz w:val="22"/>
        </w:rPr>
        <w:t>Preserve actual price paid as permanent original economic cost. Track cumulative cash received and, when available, its dividend/ROC/other character separately. Maintain ROC-adjusted basis only as account- and tax-lot-specific tax data for taxable sale estimates and reporting.</w:t>
      </w:r>
    </w:p>
    <w:p>
      <w:pPr>
        <w:pStyle w:val="Heading1"/>
      </w:pPr>
      <w:r>
        <w:t>3. Current Workbook Architecture</w:t>
      </w:r>
    </w:p>
    <w:tbl>
      <w:tblPr>
        <w:tblStyle w:val="TableGrid"/>
        <w:tblW w:type="dxa" w:w="9360"/>
        <w:jc w:val="left"/>
        <w:tblLayout w:type="fixed"/>
        <w:tblLook w:firstColumn="1" w:firstRow="1" w:lastColumn="0" w:lastRow="0" w:noHBand="0" w:noVBand="1" w:val="04A0"/>
        <w:tblInd w:w="120" w:type="dxa"/>
      </w:tblPr>
      <w:tblGrid>
        <w:gridCol w:w="1900"/>
        <w:gridCol w:w="3560"/>
        <w:gridCol w:w="3900"/>
      </w:tblGrid>
      <w:tr>
        <w:trPr>
          <w:tblHeader w:val="true"/>
          <w:cantSplit/>
        </w:trPr>
        <w:tc>
          <w:tcPr>
            <w:tcW w:type="dxa" w:w="1900"/>
            <w:shd w:fill="F2F4F7"/>
            <w:tcMar>
              <w:top w:w="80" w:type="dxa"/>
              <w:start w:w="120" w:type="dxa"/>
              <w:bottom w:w="80" w:type="dxa"/>
              <w:end w:w="120" w:type="dxa"/>
            </w:tcMar>
            <w:vAlign w:val="center"/>
          </w:tcPr>
          <w:p>
            <w:pPr>
              <w:spacing w:after="0"/>
            </w:pPr>
            <w:r>
              <w:rPr>
                <w:rFonts w:ascii="Calibri" w:hAnsi="Calibri"/>
                <w:b/>
                <w:color w:val="0B2545"/>
                <w:sz w:val="17"/>
              </w:rPr>
              <w:t>Current source</w:t>
            </w:r>
          </w:p>
        </w:tc>
        <w:tc>
          <w:tcPr>
            <w:tcW w:type="dxa" w:w="3560"/>
            <w:shd w:fill="F2F4F7"/>
            <w:tcMar>
              <w:top w:w="80" w:type="dxa"/>
              <w:start w:w="120" w:type="dxa"/>
              <w:bottom w:w="80" w:type="dxa"/>
              <w:end w:w="120" w:type="dxa"/>
            </w:tcMar>
            <w:vAlign w:val="center"/>
          </w:tcPr>
          <w:p>
            <w:pPr>
              <w:spacing w:after="0"/>
            </w:pPr>
            <w:r>
              <w:rPr>
                <w:rFonts w:ascii="Calibri" w:hAnsi="Calibri"/>
                <w:b/>
                <w:color w:val="0B2545"/>
                <w:sz w:val="17"/>
              </w:rPr>
              <w:t>Contribution to Position Details</w:t>
            </w:r>
          </w:p>
        </w:tc>
        <w:tc>
          <w:tcPr>
            <w:tcW w:type="dxa" w:w="3900"/>
            <w:shd w:fill="F2F4F7"/>
            <w:tcMar>
              <w:top w:w="80" w:type="dxa"/>
              <w:start w:w="120" w:type="dxa"/>
              <w:bottom w:w="80" w:type="dxa"/>
              <w:end w:w="120" w:type="dxa"/>
            </w:tcMar>
            <w:vAlign w:val="center"/>
          </w:tcPr>
          <w:p>
            <w:pPr>
              <w:spacing w:after="0"/>
            </w:pPr>
            <w:r>
              <w:rPr>
                <w:rFonts w:ascii="Calibri" w:hAnsi="Calibri"/>
                <w:b/>
                <w:color w:val="0B2545"/>
                <w:sz w:val="17"/>
              </w:rPr>
              <w:t>Target authority</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sz w:val="17"/>
              </w:rPr>
              <w:t>Position details table</w:t>
            </w:r>
          </w:p>
        </w:tc>
        <w:tc>
          <w:tcPr>
            <w:tcW w:type="dxa" w:w="3560"/>
            <w:tcMar>
              <w:top w:w="80" w:type="dxa"/>
              <w:start w:w="120" w:type="dxa"/>
              <w:bottom w:w="80" w:type="dxa"/>
              <w:end w:w="120" w:type="dxa"/>
            </w:tcMar>
            <w:vAlign w:val="center"/>
          </w:tcPr>
          <w:p>
            <w:pPr>
              <w:spacing w:after="0" w:line="240" w:lineRule="auto"/>
            </w:pPr>
            <w:r>
              <w:rPr>
                <w:rFonts w:ascii="Calibri" w:hAnsi="Calibri"/>
                <w:sz w:val="17"/>
              </w:rPr>
              <w:t>Manual tier, diversification, bull/bear results, provider, underlying, frequency, tax/type and weekday patterns</w:t>
            </w:r>
          </w:p>
        </w:tc>
        <w:tc>
          <w:tcPr>
            <w:tcW w:type="dxa" w:w="3900"/>
            <w:tcMar>
              <w:top w:w="80" w:type="dxa"/>
              <w:start w:w="120" w:type="dxa"/>
              <w:bottom w:w="80" w:type="dxa"/>
              <w:end w:w="120" w:type="dxa"/>
            </w:tcMar>
            <w:vAlign w:val="center"/>
          </w:tcPr>
          <w:p>
            <w:pPr>
              <w:spacing w:after="0" w:line="240" w:lineRule="auto"/>
            </w:pPr>
            <w:r>
              <w:rPr>
                <w:rFonts w:ascii="Calibri" w:hAnsi="Calibri"/>
                <w:sz w:val="17"/>
              </w:rPr>
              <w:t>Position-related master/history and backtesting domains</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sz w:val="17"/>
              </w:rPr>
              <w:t>Holdings table</w:t>
            </w:r>
          </w:p>
        </w:tc>
        <w:tc>
          <w:tcPr>
            <w:tcW w:type="dxa" w:w="3560"/>
            <w:tcMar>
              <w:top w:w="80" w:type="dxa"/>
              <w:start w:w="120" w:type="dxa"/>
              <w:bottom w:w="80" w:type="dxa"/>
              <w:end w:w="120" w:type="dxa"/>
            </w:tcMar>
            <w:vAlign w:val="center"/>
          </w:tcPr>
          <w:p>
            <w:pPr>
              <w:spacing w:after="0" w:line="240" w:lineRule="auto"/>
            </w:pPr>
            <w:r>
              <w:rPr>
                <w:rFonts w:ascii="Calibri" w:hAnsi="Calibri"/>
                <w:sz w:val="17"/>
              </w:rPr>
              <w:t>Total and account-specific quantities; original cost used by Calculator</w:t>
            </w:r>
          </w:p>
        </w:tc>
        <w:tc>
          <w:tcPr>
            <w:tcW w:type="dxa" w:w="3900"/>
            <w:tcMar>
              <w:top w:w="80" w:type="dxa"/>
              <w:start w:w="120" w:type="dxa"/>
              <w:bottom w:w="80" w:type="dxa"/>
              <w:end w:w="120" w:type="dxa"/>
            </w:tcMar>
            <w:vAlign w:val="center"/>
          </w:tcPr>
          <w:p>
            <w:pPr>
              <w:spacing w:after="0" w:line="240" w:lineRule="auto"/>
            </w:pPr>
            <w:r>
              <w:rPr>
                <w:rFonts w:ascii="Calibri" w:hAnsi="Calibri"/>
                <w:sz w:val="17"/>
              </w:rPr>
              <w:t>Lot and Account domains</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sz w:val="17"/>
              </w:rPr>
              <w:t>Calculator / Dividend_History</w:t>
            </w:r>
          </w:p>
        </w:tc>
        <w:tc>
          <w:tcPr>
            <w:tcW w:type="dxa" w:w="3560"/>
            <w:tcMar>
              <w:top w:w="80" w:type="dxa"/>
              <w:start w:w="120" w:type="dxa"/>
              <w:bottom w:w="80" w:type="dxa"/>
              <w:end w:w="120" w:type="dxa"/>
            </w:tcMar>
            <w:vAlign w:val="center"/>
          </w:tcPr>
          <w:p>
            <w:pPr>
              <w:spacing w:after="0" w:line="240" w:lineRule="auto"/>
            </w:pPr>
            <w:r>
              <w:rPr>
                <w:rFonts w:ascii="Calibri" w:hAnsi="Calibri"/>
                <w:sz w:val="17"/>
              </w:rPr>
              <w:t>Planned and most-current yields, P&amp;L%, planned annual distribution per share, average unit cost</w:t>
            </w:r>
          </w:p>
        </w:tc>
        <w:tc>
          <w:tcPr>
            <w:tcW w:type="dxa" w:w="3900"/>
            <w:tcMar>
              <w:top w:w="80" w:type="dxa"/>
              <w:start w:w="120" w:type="dxa"/>
              <w:bottom w:w="80" w:type="dxa"/>
              <w:end w:w="120" w:type="dxa"/>
            </w:tcMar>
            <w:vAlign w:val="center"/>
          </w:tcPr>
          <w:p>
            <w:pPr>
              <w:spacing w:after="0" w:line="240" w:lineRule="auto"/>
            </w:pPr>
            <w:r>
              <w:rPr>
                <w:rFonts w:ascii="Calibri" w:hAnsi="Calibri"/>
                <w:sz w:val="17"/>
              </w:rPr>
              <w:t>PlanHistory, declarations, lots, prices and calculated views</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sz w:val="17"/>
              </w:rPr>
              <w:t>Last Price / Thinkorswim RTD</w:t>
            </w:r>
          </w:p>
        </w:tc>
        <w:tc>
          <w:tcPr>
            <w:tcW w:type="dxa" w:w="3560"/>
            <w:tcMar>
              <w:top w:w="80" w:type="dxa"/>
              <w:start w:w="120" w:type="dxa"/>
              <w:bottom w:w="80" w:type="dxa"/>
              <w:end w:w="120" w:type="dxa"/>
            </w:tcMar>
            <w:vAlign w:val="center"/>
          </w:tcPr>
          <w:p>
            <w:pPr>
              <w:spacing w:after="0" w:line="240" w:lineRule="auto"/>
            </w:pPr>
            <w:r>
              <w:rPr>
                <w:rFonts w:ascii="Calibri" w:hAnsi="Calibri"/>
                <w:sz w:val="17"/>
              </w:rPr>
              <w:t>Current market price</w:t>
            </w:r>
          </w:p>
        </w:tc>
        <w:tc>
          <w:tcPr>
            <w:tcW w:type="dxa" w:w="3900"/>
            <w:tcMar>
              <w:top w:w="80" w:type="dxa"/>
              <w:start w:w="120" w:type="dxa"/>
              <w:bottom w:w="80" w:type="dxa"/>
              <w:end w:w="120" w:type="dxa"/>
            </w:tcMar>
            <w:vAlign w:val="center"/>
          </w:tcPr>
          <w:p>
            <w:pPr>
              <w:spacing w:after="0" w:line="240" w:lineRule="auto"/>
            </w:pPr>
            <w:r>
              <w:rPr>
                <w:rFonts w:ascii="Calibri" w:hAnsi="Calibri"/>
                <w:sz w:val="17"/>
              </w:rPr>
              <w:t>PriceQuote with source, as-of timestamp and stale status</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sz w:val="17"/>
              </w:rPr>
              <w:t>Investment Activity Ledger</w:t>
            </w:r>
          </w:p>
        </w:tc>
        <w:tc>
          <w:tcPr>
            <w:tcW w:type="dxa" w:w="3560"/>
            <w:tcMar>
              <w:top w:w="80" w:type="dxa"/>
              <w:start w:w="120" w:type="dxa"/>
              <w:bottom w:w="80" w:type="dxa"/>
              <w:end w:w="120" w:type="dxa"/>
            </w:tcMar>
            <w:vAlign w:val="center"/>
          </w:tcPr>
          <w:p>
            <w:pPr>
              <w:spacing w:after="0" w:line="240" w:lineRule="auto"/>
            </w:pPr>
            <w:r>
              <w:rPr>
                <w:rFonts w:ascii="Calibri" w:hAnsi="Calibri"/>
                <w:sz w:val="17"/>
              </w:rPr>
              <w:t>Not directly used by the live Position Details table, but required for target realized-income and cost-recovery views</w:t>
            </w:r>
          </w:p>
        </w:tc>
        <w:tc>
          <w:tcPr>
            <w:tcW w:type="dxa" w:w="3900"/>
            <w:tcMar>
              <w:top w:w="80" w:type="dxa"/>
              <w:start w:w="120" w:type="dxa"/>
              <w:bottom w:w="80" w:type="dxa"/>
              <w:end w:w="120" w:type="dxa"/>
            </w:tcMar>
            <w:vAlign w:val="center"/>
          </w:tcPr>
          <w:p>
            <w:pPr>
              <w:spacing w:after="0" w:line="240" w:lineRule="auto"/>
            </w:pPr>
            <w:r>
              <w:rPr>
                <w:rFonts w:ascii="Calibri" w:hAnsi="Calibri"/>
                <w:sz w:val="17"/>
              </w:rPr>
              <w:t>Permanent activity authority</w:t>
            </w:r>
          </w:p>
        </w:tc>
      </w:tr>
    </w:tbl>
    <w:p>
      <w:pPr>
        <w:spacing w:after="0"/>
      </w:pPr>
    </w:p>
    <w:p>
      <w:pPr>
        <w:pStyle w:val="Heading2"/>
      </w:pPr>
      <w:r>
        <w:t>3.1 Current table population and completeness</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cantSplit/>
        </w:trPr>
        <w:tc>
          <w:tcPr>
            <w:tcW w:type="dxa" w:w="2350"/>
            <w:shd w:fill="F2F4F7"/>
            <w:tcMar>
              <w:top w:w="80" w:type="dxa"/>
              <w:start w:w="120" w:type="dxa"/>
              <w:bottom w:w="80" w:type="dxa"/>
              <w:end w:w="120" w:type="dxa"/>
            </w:tcMar>
            <w:vAlign w:val="center"/>
          </w:tcPr>
          <w:p>
            <w:pPr>
              <w:spacing w:after="0"/>
            </w:pPr>
            <w:r>
              <w:rPr>
                <w:rFonts w:ascii="Calibri" w:hAnsi="Calibri"/>
                <w:b/>
                <w:color w:val="0B2545"/>
                <w:sz w:val="18"/>
              </w:rPr>
              <w:t>Evidence</w:t>
            </w:r>
          </w:p>
        </w:tc>
        <w:tc>
          <w:tcPr>
            <w:tcW w:type="dxa" w:w="7010"/>
            <w:shd w:fill="F2F4F7"/>
            <w:tcMar>
              <w:top w:w="80" w:type="dxa"/>
              <w:start w:w="120" w:type="dxa"/>
              <w:bottom w:w="80" w:type="dxa"/>
              <w:end w:w="120" w:type="dxa"/>
            </w:tcMar>
            <w:vAlign w:val="center"/>
          </w:tcPr>
          <w:p>
            <w:pPr>
              <w:spacing w:after="0"/>
            </w:pPr>
            <w:r>
              <w:rPr>
                <w:rFonts w:ascii="Calibri" w:hAnsi="Calibri"/>
                <w:b/>
                <w:color w:val="0B2545"/>
                <w:sz w:val="18"/>
              </w:rPr>
              <w:t>Verified workbook finding</w:t>
            </w:r>
          </w:p>
        </w:tc>
      </w:tr>
      <w:tr>
        <w:trPr>
          <w:cantSplit/>
        </w:trPr>
        <w:tc>
          <w:tcPr>
            <w:tcW w:type="dxa" w:w="2350"/>
            <w:tcMar>
              <w:top w:w="80" w:type="dxa"/>
              <w:start w:w="120" w:type="dxa"/>
              <w:bottom w:w="80" w:type="dxa"/>
              <w:end w:w="120" w:type="dxa"/>
            </w:tcMar>
            <w:vAlign w:val="center"/>
          </w:tcPr>
          <w:p>
            <w:pPr>
              <w:spacing w:after="0" w:line="240" w:lineRule="auto"/>
            </w:pPr>
            <w:r>
              <w:rPr>
                <w:rFonts w:ascii="Calibri" w:hAnsi="Calibri"/>
                <w:sz w:val="18"/>
              </w:rPr>
              <w:t>Table range</w:t>
            </w:r>
          </w:p>
        </w:tc>
        <w:tc>
          <w:tcPr>
            <w:tcW w:type="dxa" w:w="7010"/>
            <w:tcMar>
              <w:top w:w="80" w:type="dxa"/>
              <w:start w:w="120" w:type="dxa"/>
              <w:bottom w:w="80" w:type="dxa"/>
              <w:end w:w="120" w:type="dxa"/>
            </w:tcMar>
            <w:vAlign w:val="center"/>
          </w:tcPr>
          <w:p>
            <w:pPr>
              <w:spacing w:after="0" w:line="240" w:lineRule="auto"/>
            </w:pPr>
            <w:r>
              <w:rPr>
                <w:rFonts w:ascii="Calibri" w:hAnsi="Calibri"/>
                <w:sz w:val="18"/>
              </w:rPr>
              <w:t>A1:AI43: header, 41 symbols and one totals row</w:t>
            </w:r>
          </w:p>
        </w:tc>
      </w:tr>
      <w:tr>
        <w:trPr>
          <w:cantSplit/>
        </w:trPr>
        <w:tc>
          <w:tcPr>
            <w:tcW w:type="dxa" w:w="2350"/>
            <w:tcMar>
              <w:top w:w="80" w:type="dxa"/>
              <w:start w:w="120" w:type="dxa"/>
              <w:bottom w:w="80" w:type="dxa"/>
              <w:end w:w="120" w:type="dxa"/>
            </w:tcMar>
            <w:vAlign w:val="center"/>
          </w:tcPr>
          <w:p>
            <w:pPr>
              <w:spacing w:after="0" w:line="240" w:lineRule="auto"/>
            </w:pPr>
            <w:r>
              <w:rPr>
                <w:rFonts w:ascii="Calibri" w:hAnsi="Calibri"/>
                <w:sz w:val="18"/>
              </w:rPr>
              <w:t>Bull/bear coverage</w:t>
            </w:r>
          </w:p>
        </w:tc>
        <w:tc>
          <w:tcPr>
            <w:tcW w:type="dxa" w:w="7010"/>
            <w:tcMar>
              <w:top w:w="80" w:type="dxa"/>
              <w:start w:w="120" w:type="dxa"/>
              <w:bottom w:w="80" w:type="dxa"/>
              <w:end w:w="120" w:type="dxa"/>
            </w:tcMar>
            <w:vAlign w:val="center"/>
          </w:tcPr>
          <w:p>
            <w:pPr>
              <w:spacing w:after="0" w:line="240" w:lineRule="auto"/>
            </w:pPr>
            <w:r>
              <w:rPr>
                <w:rFonts w:ascii="Calibri" w:hAnsi="Calibri"/>
                <w:sz w:val="18"/>
              </w:rPr>
              <w:t>35 of 41 symbols contain all three current backtesting fields</w:t>
            </w:r>
          </w:p>
        </w:tc>
      </w:tr>
      <w:tr>
        <w:trPr>
          <w:cantSplit/>
        </w:trPr>
        <w:tc>
          <w:tcPr>
            <w:tcW w:type="dxa" w:w="2350"/>
            <w:tcMar>
              <w:top w:w="80" w:type="dxa"/>
              <w:start w:w="120" w:type="dxa"/>
              <w:bottom w:w="80" w:type="dxa"/>
              <w:end w:w="120" w:type="dxa"/>
            </w:tcMar>
            <w:vAlign w:val="center"/>
          </w:tcPr>
          <w:p>
            <w:pPr>
              <w:spacing w:after="0" w:line="240" w:lineRule="auto"/>
            </w:pPr>
            <w:r>
              <w:rPr>
                <w:rFonts w:ascii="Calibri" w:hAnsi="Calibri"/>
                <w:sz w:val="18"/>
              </w:rPr>
              <w:t>Diversification coverage</w:t>
            </w:r>
          </w:p>
        </w:tc>
        <w:tc>
          <w:tcPr>
            <w:tcW w:type="dxa" w:w="7010"/>
            <w:tcMar>
              <w:top w:w="80" w:type="dxa"/>
              <w:start w:w="120" w:type="dxa"/>
              <w:bottom w:w="80" w:type="dxa"/>
              <w:end w:w="120" w:type="dxa"/>
            </w:tcMar>
            <w:vAlign w:val="center"/>
          </w:tcPr>
          <w:p>
            <w:pPr>
              <w:spacing w:after="0" w:line="240" w:lineRule="auto"/>
            </w:pPr>
            <w:r>
              <w:rPr>
                <w:rFonts w:ascii="Calibri" w:hAnsi="Calibri"/>
                <w:sz w:val="18"/>
              </w:rPr>
              <w:t>34 of 41 symbols have a manual score</w:t>
            </w:r>
          </w:p>
        </w:tc>
      </w:tr>
      <w:tr>
        <w:trPr>
          <w:cantSplit/>
        </w:trPr>
        <w:tc>
          <w:tcPr>
            <w:tcW w:type="dxa" w:w="2350"/>
            <w:tcMar>
              <w:top w:w="80" w:type="dxa"/>
              <w:start w:w="120" w:type="dxa"/>
              <w:bottom w:w="80" w:type="dxa"/>
              <w:end w:w="120" w:type="dxa"/>
            </w:tcMar>
            <w:vAlign w:val="center"/>
          </w:tcPr>
          <w:p>
            <w:pPr>
              <w:spacing w:after="0" w:line="240" w:lineRule="auto"/>
            </w:pPr>
            <w:r>
              <w:rPr>
                <w:rFonts w:ascii="Calibri" w:hAnsi="Calibri"/>
                <w:sz w:val="18"/>
              </w:rPr>
              <w:t>Yield on Cost</w:t>
            </w:r>
          </w:p>
        </w:tc>
        <w:tc>
          <w:tcPr>
            <w:tcW w:type="dxa" w:w="7010"/>
            <w:tcMar>
              <w:top w:w="80" w:type="dxa"/>
              <w:start w:w="120" w:type="dxa"/>
              <w:bottom w:w="80" w:type="dxa"/>
              <w:end w:w="120" w:type="dxa"/>
            </w:tcMar>
            <w:vAlign w:val="center"/>
          </w:tcPr>
          <w:p>
            <w:pPr>
              <w:spacing w:after="0" w:line="240" w:lineRule="auto"/>
            </w:pPr>
            <w:r>
              <w:rPr>
                <w:rFonts w:ascii="Calibri" w:hAnsi="Calibri"/>
                <w:sz w:val="18"/>
              </w:rPr>
              <w:t>Broken for all 41 rows; every displayed result is N/A</w:t>
            </w:r>
          </w:p>
        </w:tc>
      </w:tr>
      <w:tr>
        <w:trPr>
          <w:cantSplit/>
        </w:trPr>
        <w:tc>
          <w:tcPr>
            <w:tcW w:type="dxa" w:w="2350"/>
            <w:tcMar>
              <w:top w:w="80" w:type="dxa"/>
              <w:start w:w="120" w:type="dxa"/>
              <w:bottom w:w="80" w:type="dxa"/>
              <w:end w:w="120" w:type="dxa"/>
            </w:tcMar>
            <w:vAlign w:val="center"/>
          </w:tcPr>
          <w:p>
            <w:pPr>
              <w:spacing w:after="0" w:line="240" w:lineRule="auto"/>
            </w:pPr>
            <w:r>
              <w:rPr>
                <w:rFonts w:ascii="Calibri" w:hAnsi="Calibri"/>
                <w:sz w:val="18"/>
              </w:rPr>
              <w:t>Average all scores</w:t>
            </w:r>
          </w:p>
        </w:tc>
        <w:tc>
          <w:tcPr>
            <w:tcW w:type="dxa" w:w="7010"/>
            <w:tcMar>
              <w:top w:w="80" w:type="dxa"/>
              <w:start w:w="120" w:type="dxa"/>
              <w:bottom w:w="80" w:type="dxa"/>
              <w:end w:w="120" w:type="dxa"/>
            </w:tcMar>
            <w:vAlign w:val="center"/>
          </w:tcPr>
          <w:p>
            <w:pPr>
              <w:spacing w:after="0" w:line="240" w:lineRule="auto"/>
            </w:pPr>
            <w:r>
              <w:rPr>
                <w:rFonts w:ascii="Calibri" w:hAnsi="Calibri"/>
                <w:sz w:val="18"/>
              </w:rPr>
              <w:t>41 formulas, but component counts vary: 33 symbols use 7 numeric components; 2 use 6; TOPW uses 4; AMDW, CLM, IGLD, NVDW and TSLW use only 3</w:t>
            </w:r>
          </w:p>
        </w:tc>
      </w:tr>
      <w:tr>
        <w:trPr>
          <w:cantSplit/>
        </w:trPr>
        <w:tc>
          <w:tcPr>
            <w:tcW w:type="dxa" w:w="2350"/>
            <w:tcMar>
              <w:top w:w="80" w:type="dxa"/>
              <w:start w:w="120" w:type="dxa"/>
              <w:bottom w:w="80" w:type="dxa"/>
              <w:end w:w="120" w:type="dxa"/>
            </w:tcMar>
            <w:vAlign w:val="center"/>
          </w:tcPr>
          <w:p>
            <w:pPr>
              <w:spacing w:after="0" w:line="240" w:lineRule="auto"/>
            </w:pPr>
            <w:r>
              <w:rPr>
                <w:rFonts w:ascii="Calibri" w:hAnsi="Calibri"/>
                <w:sz w:val="18"/>
              </w:rPr>
              <w:t>Sector</w:t>
            </w:r>
          </w:p>
        </w:tc>
        <w:tc>
          <w:tcPr>
            <w:tcW w:type="dxa" w:w="7010"/>
            <w:tcMar>
              <w:top w:w="80" w:type="dxa"/>
              <w:start w:w="120" w:type="dxa"/>
              <w:bottom w:w="80" w:type="dxa"/>
              <w:end w:w="120" w:type="dxa"/>
            </w:tcMar>
            <w:vAlign w:val="center"/>
          </w:tcPr>
          <w:p>
            <w:pPr>
              <w:spacing w:after="0" w:line="240" w:lineRule="auto"/>
            </w:pPr>
            <w:r>
              <w:rPr>
                <w:rFonts w:ascii="Calibri" w:hAnsi="Calibri"/>
                <w:sz w:val="18"/>
              </w:rPr>
              <w:t>Blank for all 41 live rows</w:t>
            </w:r>
          </w:p>
        </w:tc>
      </w:tr>
      <w:tr>
        <w:trPr>
          <w:cantSplit/>
        </w:trPr>
        <w:tc>
          <w:tcPr>
            <w:tcW w:type="dxa" w:w="2350"/>
            <w:tcMar>
              <w:top w:w="80" w:type="dxa"/>
              <w:start w:w="120" w:type="dxa"/>
              <w:bottom w:w="80" w:type="dxa"/>
              <w:end w:w="120" w:type="dxa"/>
            </w:tcMar>
            <w:vAlign w:val="center"/>
          </w:tcPr>
          <w:p>
            <w:pPr>
              <w:spacing w:after="0" w:line="240" w:lineRule="auto"/>
            </w:pPr>
            <w:r>
              <w:rPr>
                <w:rFonts w:ascii="Calibri" w:hAnsi="Calibri"/>
                <w:sz w:val="18"/>
              </w:rPr>
              <w:t>Tax handling</w:t>
            </w:r>
          </w:p>
        </w:tc>
        <w:tc>
          <w:tcPr>
            <w:tcW w:type="dxa" w:w="7010"/>
            <w:tcMar>
              <w:top w:w="80" w:type="dxa"/>
              <w:start w:w="120" w:type="dxa"/>
              <w:bottom w:w="80" w:type="dxa"/>
              <w:end w:w="120" w:type="dxa"/>
            </w:tcMar>
            <w:vAlign w:val="center"/>
          </w:tcPr>
          <w:p>
            <w:pPr>
              <w:spacing w:after="0" w:line="240" w:lineRule="auto"/>
            </w:pPr>
            <w:r>
              <w:rPr>
                <w:rFonts w:ascii="Calibri" w:hAnsi="Calibri"/>
                <w:sz w:val="18"/>
              </w:rPr>
              <w:t>17 blanks and 2 numeric zeros; only 22 rows have a textual classification</w:t>
            </w:r>
          </w:p>
        </w:tc>
      </w:tr>
      <w:tr>
        <w:trPr>
          <w:cantSplit/>
        </w:trPr>
        <w:tc>
          <w:tcPr>
            <w:tcW w:type="dxa" w:w="2350"/>
            <w:tcMar>
              <w:top w:w="80" w:type="dxa"/>
              <w:start w:w="120" w:type="dxa"/>
              <w:bottom w:w="80" w:type="dxa"/>
              <w:end w:w="120" w:type="dxa"/>
            </w:tcMar>
            <w:vAlign w:val="center"/>
          </w:tcPr>
          <w:p>
            <w:pPr>
              <w:spacing w:after="0" w:line="240" w:lineRule="auto"/>
            </w:pPr>
            <w:r>
              <w:rPr>
                <w:rFonts w:ascii="Calibri" w:hAnsi="Calibri"/>
                <w:sz w:val="18"/>
              </w:rPr>
              <w:t>Frequency Group</w:t>
            </w:r>
          </w:p>
        </w:tc>
        <w:tc>
          <w:tcPr>
            <w:tcW w:type="dxa" w:w="7010"/>
            <w:tcMar>
              <w:top w:w="80" w:type="dxa"/>
              <w:start w:w="120" w:type="dxa"/>
              <w:bottom w:w="80" w:type="dxa"/>
              <w:end w:w="120" w:type="dxa"/>
            </w:tcMar>
            <w:vAlign w:val="center"/>
          </w:tcPr>
          <w:p>
            <w:pPr>
              <w:spacing w:after="0" w:line="240" w:lineRule="auto"/>
            </w:pPr>
            <w:r>
              <w:rPr>
                <w:rFonts w:ascii="Calibri" w:hAnsi="Calibri"/>
                <w:sz w:val="18"/>
              </w:rPr>
              <w:t>2 blanks; remaining values include whitespace variants</w:t>
            </w:r>
          </w:p>
        </w:tc>
      </w:tr>
      <w:tr>
        <w:trPr>
          <w:cantSplit/>
        </w:trPr>
        <w:tc>
          <w:tcPr>
            <w:tcW w:type="dxa" w:w="2350"/>
            <w:tcMar>
              <w:top w:w="80" w:type="dxa"/>
              <w:start w:w="120" w:type="dxa"/>
              <w:bottom w:w="80" w:type="dxa"/>
              <w:end w:w="120" w:type="dxa"/>
            </w:tcMar>
            <w:vAlign w:val="center"/>
          </w:tcPr>
          <w:p>
            <w:pPr>
              <w:spacing w:after="0" w:line="240" w:lineRule="auto"/>
            </w:pPr>
            <w:r>
              <w:rPr>
                <w:rFonts w:ascii="Calibri" w:hAnsi="Calibri"/>
                <w:sz w:val="18"/>
              </w:rPr>
              <w:t>Type2</w:t>
            </w:r>
          </w:p>
        </w:tc>
        <w:tc>
          <w:tcPr>
            <w:tcW w:type="dxa" w:w="7010"/>
            <w:tcMar>
              <w:top w:w="80" w:type="dxa"/>
              <w:start w:w="120" w:type="dxa"/>
              <w:bottom w:w="80" w:type="dxa"/>
              <w:end w:w="120" w:type="dxa"/>
            </w:tcMar>
            <w:vAlign w:val="center"/>
          </w:tcPr>
          <w:p>
            <w:pPr>
              <w:spacing w:after="0" w:line="240" w:lineRule="auto"/>
            </w:pPr>
            <w:r>
              <w:rPr>
                <w:rFonts w:ascii="Calibri" w:hAnsi="Calibri"/>
                <w:sz w:val="18"/>
              </w:rPr>
              <w:t>Four text variants: DIV-1, Div-1, DIV 1 and DIV-2</w:t>
            </w:r>
          </w:p>
        </w:tc>
      </w:tr>
      <w:tr>
        <w:trPr>
          <w:cantSplit/>
        </w:trPr>
        <w:tc>
          <w:tcPr>
            <w:tcW w:type="dxa" w:w="2350"/>
            <w:tcMar>
              <w:top w:w="80" w:type="dxa"/>
              <w:start w:w="120" w:type="dxa"/>
              <w:bottom w:w="80" w:type="dxa"/>
              <w:end w:w="120" w:type="dxa"/>
            </w:tcMar>
            <w:vAlign w:val="center"/>
          </w:tcPr>
          <w:p>
            <w:pPr>
              <w:spacing w:after="0" w:line="240" w:lineRule="auto"/>
            </w:pPr>
            <w:r>
              <w:rPr>
                <w:rFonts w:ascii="Calibri" w:hAnsi="Calibri"/>
                <w:sz w:val="18"/>
              </w:rPr>
              <w:t>Expected weekdays</w:t>
            </w:r>
          </w:p>
        </w:tc>
        <w:tc>
          <w:tcPr>
            <w:tcW w:type="dxa" w:w="7010"/>
            <w:tcMar>
              <w:top w:w="80" w:type="dxa"/>
              <w:start w:w="120" w:type="dxa"/>
              <w:bottom w:w="80" w:type="dxa"/>
              <w:end w:w="120" w:type="dxa"/>
            </w:tcMar>
            <w:vAlign w:val="center"/>
          </w:tcPr>
          <w:p>
            <w:pPr>
              <w:spacing w:after="0" w:line="240" w:lineRule="auto"/>
            </w:pPr>
            <w:r>
              <w:rPr>
                <w:rFonts w:ascii="Calibri" w:hAnsi="Calibri"/>
                <w:sz w:val="18"/>
              </w:rPr>
              <w:t>Declaration and ex-date patterns populated for 14 symbols; payday for 15</w:t>
            </w:r>
          </w:p>
        </w:tc>
      </w:tr>
    </w:tbl>
    <w:p>
      <w:pPr>
        <w:spacing w:after="0"/>
      </w:pPr>
    </w:p>
    <w:p>
      <w:pPr>
        <w:pStyle w:val="Heading1"/>
      </w:pPr>
      <w:r>
        <w:t>4. Complete Field and Formula Inventory</w:t>
      </w:r>
    </w:p>
    <w:p>
      <w:r>
        <w:rPr>
          <w:rFonts w:ascii="Calibri" w:hAnsi="Calibri"/>
          <w:sz w:val="22"/>
        </w:rPr>
        <w:t>Every live table column is included below. “Stored,” “derived” and “historical evidence” describe target ownership, not whether the spreadsheet presently contains a hardcoded value.</w:t>
      </w:r>
    </w:p>
    <w:tbl>
      <w:tblPr>
        <w:tblStyle w:val="TableGrid"/>
        <w:tblW w:type="dxa" w:w="9360"/>
        <w:jc w:val="left"/>
        <w:tblLayout w:type="fixed"/>
        <w:tblLook w:firstColumn="1" w:firstRow="1" w:lastColumn="0" w:lastRow="0" w:noHBand="0" w:noVBand="1" w:val="04A0"/>
        <w:tblInd w:w="120" w:type="dxa"/>
      </w:tblPr>
      <w:tblGrid>
        <w:gridCol w:w="520"/>
        <w:gridCol w:w="1580"/>
        <w:gridCol w:w="2060"/>
        <w:gridCol w:w="2460"/>
        <w:gridCol w:w="2740"/>
      </w:tblGrid>
      <w:tr>
        <w:trPr>
          <w:tblHeader w:val="true"/>
          <w:cantSplit/>
        </w:trPr>
        <w:tc>
          <w:tcPr>
            <w:tcW w:type="dxa" w:w="520"/>
            <w:shd w:fill="F2F4F7"/>
            <w:tcMar>
              <w:top w:w="80" w:type="dxa"/>
              <w:start w:w="120" w:type="dxa"/>
              <w:bottom w:w="80" w:type="dxa"/>
              <w:end w:w="120" w:type="dxa"/>
            </w:tcMar>
            <w:vAlign w:val="center"/>
          </w:tcPr>
          <w:p>
            <w:pPr>
              <w:spacing w:after="0"/>
            </w:pPr>
            <w:r>
              <w:rPr>
                <w:rFonts w:ascii="Calibri" w:hAnsi="Calibri"/>
                <w:b/>
                <w:color w:val="0B2545"/>
                <w:sz w:val="15"/>
              </w:rPr>
              <w:t>Col</w:t>
            </w:r>
          </w:p>
        </w:tc>
        <w:tc>
          <w:tcPr>
            <w:tcW w:type="dxa" w:w="1580"/>
            <w:shd w:fill="F2F4F7"/>
            <w:tcMar>
              <w:top w:w="80" w:type="dxa"/>
              <w:start w:w="120" w:type="dxa"/>
              <w:bottom w:w="80" w:type="dxa"/>
              <w:end w:w="120" w:type="dxa"/>
            </w:tcMar>
            <w:vAlign w:val="center"/>
          </w:tcPr>
          <w:p>
            <w:pPr>
              <w:spacing w:after="0"/>
            </w:pPr>
            <w:r>
              <w:rPr>
                <w:rFonts w:ascii="Calibri" w:hAnsi="Calibri"/>
                <w:b/>
                <w:color w:val="0B2545"/>
                <w:sz w:val="15"/>
              </w:rPr>
              <w:t>Live field</w:t>
            </w:r>
          </w:p>
        </w:tc>
        <w:tc>
          <w:tcPr>
            <w:tcW w:type="dxa" w:w="2060"/>
            <w:shd w:fill="F2F4F7"/>
            <w:tcMar>
              <w:top w:w="80" w:type="dxa"/>
              <w:start w:w="120" w:type="dxa"/>
              <w:bottom w:w="80" w:type="dxa"/>
              <w:end w:w="120" w:type="dxa"/>
            </w:tcMar>
            <w:vAlign w:val="center"/>
          </w:tcPr>
          <w:p>
            <w:pPr>
              <w:spacing w:after="0"/>
            </w:pPr>
            <w:r>
              <w:rPr>
                <w:rFonts w:ascii="Calibri" w:hAnsi="Calibri"/>
                <w:b/>
                <w:color w:val="0B2545"/>
                <w:sz w:val="15"/>
              </w:rPr>
              <w:t>Current source/formula</w:t>
            </w:r>
          </w:p>
        </w:tc>
        <w:tc>
          <w:tcPr>
            <w:tcW w:type="dxa" w:w="2460"/>
            <w:shd w:fill="F2F4F7"/>
            <w:tcMar>
              <w:top w:w="80" w:type="dxa"/>
              <w:start w:w="120" w:type="dxa"/>
              <w:bottom w:w="80" w:type="dxa"/>
              <w:end w:w="120" w:type="dxa"/>
            </w:tcMar>
            <w:vAlign w:val="center"/>
          </w:tcPr>
          <w:p>
            <w:pPr>
              <w:spacing w:after="0"/>
            </w:pPr>
            <w:r>
              <w:rPr>
                <w:rFonts w:ascii="Calibri" w:hAnsi="Calibri"/>
                <w:b/>
                <w:color w:val="0B2545"/>
                <w:sz w:val="15"/>
              </w:rPr>
              <w:t>Verified meaning</w:t>
            </w:r>
          </w:p>
        </w:tc>
        <w:tc>
          <w:tcPr>
            <w:tcW w:type="dxa" w:w="2740"/>
            <w:shd w:fill="F2F4F7"/>
            <w:tcMar>
              <w:top w:w="80" w:type="dxa"/>
              <w:start w:w="120" w:type="dxa"/>
              <w:bottom w:w="80" w:type="dxa"/>
              <w:end w:w="120" w:type="dxa"/>
            </w:tcMar>
            <w:vAlign w:val="center"/>
          </w:tcPr>
          <w:p>
            <w:pPr>
              <w:spacing w:after="0"/>
            </w:pPr>
            <w:r>
              <w:rPr>
                <w:rFonts w:ascii="Calibri" w:hAnsi="Calibri"/>
                <w:b/>
                <w:color w:val="0B2545"/>
                <w:sz w:val="15"/>
              </w:rPr>
              <w:t>Target disposition</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A</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Symbol</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row key</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Current ticker text.</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Stored Position identity attribute, but use immutable position_id as database key; preserve ticker history.</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B</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Tier Ranking</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classification</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Live values: Foundation, Core, Risk On.</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Effective-dated classification history. Import exact live label. Add calculated suggestion and owner override separately.</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C</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Average all scores</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Formula: AVERAGE(D:K)</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Excel ignores text and blanks, so the number of components varies by symbol.</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Retain only as legacy_score with component count. Replace decision use with normalized component scores and data confidence.</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D</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Yield on Cost</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Broken formula: IFERROR(Q / #REF!, "N/A")</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All 41 rows display N/A.</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Replace with plan_based_yoc = annual planned distribution per share / average original unit cost. Never migrate N/A as a value.</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E</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Dividend Planned FWD yield</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Symbol lookup to Calculator AB</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Calculator AB = annual planned distribution per share / current market price.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Derived plan_forward_yield from PlanHistory, periods and PriceQuote.</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F</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unRealized P&amp;L</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Symbol lookup to Calculator X</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Calculator X = P&amp;L dollars / original cost. Despite casing, this is a percentage.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Derived unrealized_pnl_pct using current open lots and original economic cost; include as-of timestamp.</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G</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Dividend Most Current FWD Yield</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Symbol lookup to Calculator AC</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Calculator AC = most-current annualized distribution per share / current market price.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Derived current_declared_forward_yield from the latest eligible declaration and PriceQuote.</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H</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Diversification Score</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value</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Observed values: 60%, 65%, 75%, 85%, 100%; 7 blanks. Method is not encoded.</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Preserve legacy score and provenance. Replace/augment with calculated exposure concentration measures.</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I</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PRICE RETURN BEAR Jan2 to April 7</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historical result</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Price-only return over the manually selected bear period. Year is not encoded in the header.</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PositionBacktestResult.price_return linked to an exact BacktestPeriod and source/method.</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J</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Total Return BEAR</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historical result</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Total return over the same intended bear period.</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PositionBacktestResult.total_return. Store method because reinvested adjusted-close return differs from cash-distribution return.</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K</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Total return BULL</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historical result</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Bull-period total return. Exact dates are not stored in the field label.</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PositionBacktestResult for a dated Bull period; legacy import marked date_unverified until confirmed.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520"/>
        <w:gridCol w:w="1580"/>
        <w:gridCol w:w="2060"/>
        <w:gridCol w:w="2460"/>
        <w:gridCol w:w="2740"/>
      </w:tblGrid>
      <w:tr>
        <w:trPr>
          <w:tblHeader w:val="true"/>
          <w:cantSplit/>
        </w:trPr>
        <w:tc>
          <w:tcPr>
            <w:tcW w:type="dxa" w:w="520"/>
            <w:shd w:fill="F2F4F7"/>
            <w:tcMar>
              <w:top w:w="80" w:type="dxa"/>
              <w:start w:w="120" w:type="dxa"/>
              <w:bottom w:w="80" w:type="dxa"/>
              <w:end w:w="120" w:type="dxa"/>
            </w:tcMar>
            <w:vAlign w:val="center"/>
          </w:tcPr>
          <w:p>
            <w:pPr>
              <w:spacing w:after="0"/>
            </w:pPr>
            <w:r>
              <w:rPr>
                <w:rFonts w:ascii="Calibri" w:hAnsi="Calibri"/>
                <w:b/>
                <w:color w:val="0B2545"/>
                <w:sz w:val="15"/>
              </w:rPr>
              <w:t>Col</w:t>
            </w:r>
          </w:p>
        </w:tc>
        <w:tc>
          <w:tcPr>
            <w:tcW w:type="dxa" w:w="1580"/>
            <w:shd w:fill="F2F4F7"/>
            <w:tcMar>
              <w:top w:w="80" w:type="dxa"/>
              <w:start w:w="120" w:type="dxa"/>
              <w:bottom w:w="80" w:type="dxa"/>
              <w:end w:w="120" w:type="dxa"/>
            </w:tcMar>
            <w:vAlign w:val="center"/>
          </w:tcPr>
          <w:p>
            <w:pPr>
              <w:spacing w:after="0"/>
            </w:pPr>
            <w:r>
              <w:rPr>
                <w:rFonts w:ascii="Calibri" w:hAnsi="Calibri"/>
                <w:b/>
                <w:color w:val="0B2545"/>
                <w:sz w:val="15"/>
              </w:rPr>
              <w:t>Live field</w:t>
            </w:r>
          </w:p>
        </w:tc>
        <w:tc>
          <w:tcPr>
            <w:tcW w:type="dxa" w:w="2060"/>
            <w:shd w:fill="F2F4F7"/>
            <w:tcMar>
              <w:top w:w="80" w:type="dxa"/>
              <w:start w:w="120" w:type="dxa"/>
              <w:bottom w:w="80" w:type="dxa"/>
              <w:end w:w="120" w:type="dxa"/>
            </w:tcMar>
            <w:vAlign w:val="center"/>
          </w:tcPr>
          <w:p>
            <w:pPr>
              <w:spacing w:after="0"/>
            </w:pPr>
            <w:r>
              <w:rPr>
                <w:rFonts w:ascii="Calibri" w:hAnsi="Calibri"/>
                <w:b/>
                <w:color w:val="0B2545"/>
                <w:sz w:val="15"/>
              </w:rPr>
              <w:t>Current source/formula</w:t>
            </w:r>
          </w:p>
        </w:tc>
        <w:tc>
          <w:tcPr>
            <w:tcW w:type="dxa" w:w="2460"/>
            <w:shd w:fill="F2F4F7"/>
            <w:tcMar>
              <w:top w:w="80" w:type="dxa"/>
              <w:start w:w="120" w:type="dxa"/>
              <w:bottom w:w="80" w:type="dxa"/>
              <w:end w:w="120" w:type="dxa"/>
            </w:tcMar>
            <w:vAlign w:val="center"/>
          </w:tcPr>
          <w:p>
            <w:pPr>
              <w:spacing w:after="0"/>
            </w:pPr>
            <w:r>
              <w:rPr>
                <w:rFonts w:ascii="Calibri" w:hAnsi="Calibri"/>
                <w:b/>
                <w:color w:val="0B2545"/>
                <w:sz w:val="15"/>
              </w:rPr>
              <w:t>Verified meaning</w:t>
            </w:r>
          </w:p>
        </w:tc>
        <w:tc>
          <w:tcPr>
            <w:tcW w:type="dxa" w:w="2740"/>
            <w:shd w:fill="F2F4F7"/>
            <w:tcMar>
              <w:top w:w="80" w:type="dxa"/>
              <w:start w:w="120" w:type="dxa"/>
              <w:bottom w:w="80" w:type="dxa"/>
              <w:end w:w="120" w:type="dxa"/>
            </w:tcMar>
            <w:vAlign w:val="center"/>
          </w:tcPr>
          <w:p>
            <w:pPr>
              <w:spacing w:after="0"/>
            </w:pPr>
            <w:r>
              <w:rPr>
                <w:rFonts w:ascii="Calibri" w:hAnsi="Calibri"/>
                <w:b/>
                <w:color w:val="0B2545"/>
                <w:sz w:val="15"/>
              </w:rPr>
              <w:t>Target disposition</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L</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Provider</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Fund sponsor/issuer/manager label. Contains capitalization/spelling variations.</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Stored provider relationship using controlled Provider identity plus preserved source text.</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M</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Sector</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currently blank</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Intended sector descriptor; no populated live evidence.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Do not treat as completed migration data. Use normalized exposure classifications when researched.</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N</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Underlying</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free text</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Mixes companies, indexes, assets, sectors, themes and multi-holding descriptions.</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PositionExposure child records with exposure_type, exposure identifier/name and optional weight; preserve original text.</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O</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Total Value</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R x S</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Current price per share times total quantity across all accounts.</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Derived consolidated market value with PriceQuote as-of timestamp.</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P</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Portfolio allocation</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O / totals-row O</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Denominator is SUBTOTAL(109), so allocation changes with table filters and describes the visible subset.</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Provide both portfolio_allocation_pct with a defined portfolio denominator and explicit filtered-view share when filtering.</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Q</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Planned annual Dividend</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Symbol lookup to Calculator R</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Calculator R = Plan per period x periods per year. This is annual planned distribution per share, not position-level dollars.</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Rename annual_planned_distribution_per_share. Position planned dollars = per-share amount x eligible quantity.</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R</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Current Market Price each</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Thinkorswim RTD LAST</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Live price without durable source/as-of/staleness metadata.</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PriceQuote-derived value with source, timestamp, market session and stale/error state.</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S</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Quantity</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SUMIF Holdings by symbol</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Total open quantity across every account.</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Derived from authoritative open lots.</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T</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Avg cost each</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Symbol lookup to Calculator J</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Calculator J = total original cost / quantity.</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Derived weighted_average_original_unit_cost from open lots. Tax-adjusted unit cost is a separate tax metric.</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520"/>
        <w:gridCol w:w="1580"/>
        <w:gridCol w:w="2060"/>
        <w:gridCol w:w="2460"/>
        <w:gridCol w:w="2740"/>
      </w:tblGrid>
      <w:tr>
        <w:trPr>
          <w:tblHeader w:val="true"/>
          <w:cantSplit/>
        </w:trPr>
        <w:tc>
          <w:tcPr>
            <w:tcW w:type="dxa" w:w="520"/>
            <w:shd w:fill="F2F4F7"/>
            <w:tcMar>
              <w:top w:w="80" w:type="dxa"/>
              <w:start w:w="120" w:type="dxa"/>
              <w:bottom w:w="80" w:type="dxa"/>
              <w:end w:w="120" w:type="dxa"/>
            </w:tcMar>
            <w:vAlign w:val="center"/>
          </w:tcPr>
          <w:p>
            <w:pPr>
              <w:spacing w:after="0"/>
            </w:pPr>
            <w:r>
              <w:rPr>
                <w:rFonts w:ascii="Calibri" w:hAnsi="Calibri"/>
                <w:b/>
                <w:color w:val="0B2545"/>
                <w:sz w:val="15"/>
              </w:rPr>
              <w:t>Col</w:t>
            </w:r>
          </w:p>
        </w:tc>
        <w:tc>
          <w:tcPr>
            <w:tcW w:type="dxa" w:w="1580"/>
            <w:shd w:fill="F2F4F7"/>
            <w:tcMar>
              <w:top w:w="80" w:type="dxa"/>
              <w:start w:w="120" w:type="dxa"/>
              <w:bottom w:w="80" w:type="dxa"/>
              <w:end w:w="120" w:type="dxa"/>
            </w:tcMar>
            <w:vAlign w:val="center"/>
          </w:tcPr>
          <w:p>
            <w:pPr>
              <w:spacing w:after="0"/>
            </w:pPr>
            <w:r>
              <w:rPr>
                <w:rFonts w:ascii="Calibri" w:hAnsi="Calibri"/>
                <w:b/>
                <w:color w:val="0B2545"/>
                <w:sz w:val="15"/>
              </w:rPr>
              <w:t>Live field</w:t>
            </w:r>
          </w:p>
        </w:tc>
        <w:tc>
          <w:tcPr>
            <w:tcW w:type="dxa" w:w="2060"/>
            <w:shd w:fill="F2F4F7"/>
            <w:tcMar>
              <w:top w:w="80" w:type="dxa"/>
              <w:start w:w="120" w:type="dxa"/>
              <w:bottom w:w="80" w:type="dxa"/>
              <w:end w:w="120" w:type="dxa"/>
            </w:tcMar>
            <w:vAlign w:val="center"/>
          </w:tcPr>
          <w:p>
            <w:pPr>
              <w:spacing w:after="0"/>
            </w:pPr>
            <w:r>
              <w:rPr>
                <w:rFonts w:ascii="Calibri" w:hAnsi="Calibri"/>
                <w:b/>
                <w:color w:val="0B2545"/>
                <w:sz w:val="15"/>
              </w:rPr>
              <w:t>Current source/formula</w:t>
            </w:r>
          </w:p>
        </w:tc>
        <w:tc>
          <w:tcPr>
            <w:tcW w:type="dxa" w:w="2460"/>
            <w:shd w:fill="F2F4F7"/>
            <w:tcMar>
              <w:top w:w="80" w:type="dxa"/>
              <w:start w:w="120" w:type="dxa"/>
              <w:bottom w:w="80" w:type="dxa"/>
              <w:end w:w="120" w:type="dxa"/>
            </w:tcMar>
            <w:vAlign w:val="center"/>
          </w:tcPr>
          <w:p>
            <w:pPr>
              <w:spacing w:after="0"/>
            </w:pPr>
            <w:r>
              <w:rPr>
                <w:rFonts w:ascii="Calibri" w:hAnsi="Calibri"/>
                <w:b/>
                <w:color w:val="0B2545"/>
                <w:sz w:val="15"/>
              </w:rPr>
              <w:t>Verified meaning</w:t>
            </w:r>
          </w:p>
        </w:tc>
        <w:tc>
          <w:tcPr>
            <w:tcW w:type="dxa" w:w="2740"/>
            <w:shd w:fill="F2F4F7"/>
            <w:tcMar>
              <w:top w:w="80" w:type="dxa"/>
              <w:start w:w="120" w:type="dxa"/>
              <w:bottom w:w="80" w:type="dxa"/>
              <w:end w:w="120" w:type="dxa"/>
            </w:tcMar>
            <w:vAlign w:val="center"/>
          </w:tcPr>
          <w:p>
            <w:pPr>
              <w:spacing w:after="0"/>
            </w:pPr>
            <w:r>
              <w:rPr>
                <w:rFonts w:ascii="Calibri" w:hAnsi="Calibri"/>
                <w:b/>
                <w:color w:val="0B2545"/>
                <w:sz w:val="15"/>
              </w:rPr>
              <w:t>Target disposition</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U</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Car Value</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R x T (verified defect)</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Multiplies current price by average unit cost; it does not use Car quantity. The displayed value is not Car market value.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Do not migrate as trusted data. Derive account market value from lots for the Car account.</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V</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Roth QTY</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SUMIFS Holdings; Account = Fi Roth</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Open quantity held in Fi Roth.</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Generic PositionAccountSummary quantity; no hardcoded account column in the data model.</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W</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Roth Value</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V x R</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Fi Roth market value.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Derived account market value.</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X</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Income QTY</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SUMIFS Holdings; Account = Income</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Open quantity held in Income.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Generic PositionAccountSummary quantity.</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Y</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Income Value</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X x R</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Income-account market value.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Derived account market value.</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Z</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9 QTY</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SUMIFS Holdings; Account = 9</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Open quantity held in account label 9.</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Generic PositionAccountSummary quantity using Account identity.</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AA</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9 Value</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Z x R</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Account-9 market value.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Derived account market value.</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AB</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Health QTY</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SUMIFS Holdings; Account = Health</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Open quantity held in Health.</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Generic PositionAccountSummary quantity.</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AC</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Health Value</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AB x R</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Health-account market value.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Derived account market value.</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AD</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Group</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Weekly, Monthly, Quarterly or blank; whitespace variants exist.</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Effective-dated payment_frequency; periods derived as 52/12/4. None/unclassified permitted.</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AE</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Tax handling</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Ordinary, Qualified, Non Qualified, blank or numeric zero. Incomplete planning shorthand.</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Expected tax treatment on PositionTaxProfile; actual annual/distribution character belongs to tax-year records.</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AF</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Type2</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DIV-1/DIV-2 with spelling variants; current semantics combine purpose/income behavior.</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Preserve legacy code; target separates investment_purpose, income_plan_eligibility, security_type and cash_equivalent flag.</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AG</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Declaration</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weekday pattern</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Typical expected issuer declaration weekday, not an actual declaration date.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ExpectedPaymentPattern; actual dates belong to DividendDeclaration.</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AH</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Exdate</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weekday pattern</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Typical expected ex-dividend weekday, not an actual date.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ExpectedPaymentPattern; actual ex-dividend date belongs to DividendDeclaration.</w:t>
            </w:r>
          </w:p>
        </w:tc>
      </w:tr>
      <w:tr>
        <w:trPr>
          <w:cantSplit/>
        </w:trPr>
        <w:tc>
          <w:tcPr>
            <w:tcW w:type="dxa" w:w="520"/>
            <w:tcMar>
              <w:top w:w="80" w:type="dxa"/>
              <w:start w:w="120" w:type="dxa"/>
              <w:bottom w:w="80" w:type="dxa"/>
              <w:end w:w="120" w:type="dxa"/>
            </w:tcMar>
            <w:vAlign w:val="center"/>
          </w:tcPr>
          <w:p>
            <w:pPr>
              <w:spacing w:after="0" w:line="240" w:lineRule="auto"/>
            </w:pPr>
            <w:r>
              <w:rPr>
                <w:rFonts w:ascii="Calibri" w:hAnsi="Calibri"/>
                <w:sz w:val="15"/>
              </w:rPr>
              <w:t>AI</w:t>
            </w:r>
          </w:p>
        </w:tc>
        <w:tc>
          <w:tcPr>
            <w:tcW w:type="dxa" w:w="1580"/>
            <w:tcMar>
              <w:top w:w="80" w:type="dxa"/>
              <w:start w:w="120" w:type="dxa"/>
              <w:bottom w:w="80" w:type="dxa"/>
              <w:end w:w="120" w:type="dxa"/>
            </w:tcMar>
            <w:vAlign w:val="center"/>
          </w:tcPr>
          <w:p>
            <w:pPr>
              <w:spacing w:after="0" w:line="240" w:lineRule="auto"/>
            </w:pPr>
            <w:r>
              <w:rPr>
                <w:rFonts w:ascii="Calibri" w:hAnsi="Calibri"/>
                <w:sz w:val="15"/>
              </w:rPr>
              <w:t>Payday</w:t>
            </w:r>
          </w:p>
        </w:tc>
        <w:tc>
          <w:tcPr>
            <w:tcW w:type="dxa" w:w="2060"/>
            <w:tcMar>
              <w:top w:w="80" w:type="dxa"/>
              <w:start w:w="120" w:type="dxa"/>
              <w:bottom w:w="80" w:type="dxa"/>
              <w:end w:w="120" w:type="dxa"/>
            </w:tcMar>
            <w:vAlign w:val="center"/>
          </w:tcPr>
          <w:p>
            <w:pPr>
              <w:spacing w:after="0" w:line="240" w:lineRule="auto"/>
            </w:pPr>
            <w:r>
              <w:rPr>
                <w:rFonts w:ascii="Calibri" w:hAnsi="Calibri"/>
                <w:sz w:val="15"/>
              </w:rPr>
              <w:t>Manual weekday pattern</w:t>
            </w:r>
          </w:p>
        </w:tc>
        <w:tc>
          <w:tcPr>
            <w:tcW w:type="dxa" w:w="2460"/>
            <w:tcMar>
              <w:top w:w="80" w:type="dxa"/>
              <w:start w:w="120" w:type="dxa"/>
              <w:bottom w:w="80" w:type="dxa"/>
              <w:end w:w="120" w:type="dxa"/>
            </w:tcMar>
            <w:vAlign w:val="center"/>
          </w:tcPr>
          <w:p>
            <w:pPr>
              <w:spacing w:after="0" w:line="240" w:lineRule="auto"/>
            </w:pPr>
            <w:r>
              <w:rPr>
                <w:rFonts w:ascii="Calibri" w:hAnsi="Calibri"/>
                <w:sz w:val="15"/>
              </w:rPr>
              <w:t>Typical expected payment weekday, not an announced or broker date.</w:t>
            </w:r>
          </w:p>
        </w:tc>
        <w:tc>
          <w:tcPr>
            <w:tcW w:type="dxa" w:w="2740"/>
            <w:tcMar>
              <w:top w:w="80" w:type="dxa"/>
              <w:start w:w="120" w:type="dxa"/>
              <w:bottom w:w="80" w:type="dxa"/>
              <w:end w:w="120" w:type="dxa"/>
            </w:tcMar>
            <w:vAlign w:val="center"/>
          </w:tcPr>
          <w:p>
            <w:pPr>
              <w:spacing w:after="0" w:line="240" w:lineRule="auto"/>
            </w:pPr>
            <w:r>
              <w:rPr>
                <w:rFonts w:ascii="Calibri" w:hAnsi="Calibri"/>
                <w:sz w:val="15"/>
              </w:rPr>
              <w:t>ExpectedPaymentPattern; announced date and broker actual payment remain separate.</w:t>
            </w:r>
          </w:p>
        </w:tc>
      </w:tr>
    </w:tbl>
    <w:p>
      <w:pPr>
        <w:spacing w:after="0"/>
      </w:pPr>
    </w:p>
    <w:p>
      <w:pPr>
        <w:pStyle w:val="Heading2"/>
      </w:pPr>
      <w:r>
        <w:t>4.1 Totals row behavior</w:t>
      </w:r>
    </w:p>
    <w:p>
      <w:r>
        <w:rPr>
          <w:rFonts w:ascii="Calibri" w:hAnsi="Calibri"/>
          <w:sz w:val="22"/>
        </w:rPr>
        <w:t>Row 43 is the table totals row. It averages visible P&amp;L% and Most Current Forward Yield, and it sums visible Total Value and each account-value column using SUBTOTAL. Because SUBTOTAL ignores filtered-out rows, these totals describe the currently visible subset. The target must label filter-responsive totals as such and must not confuse them with the complete portfolio total.</w:t>
      </w:r>
    </w:p>
    <w:p>
      <w:pPr>
        <w:pStyle w:val="Heading1"/>
      </w:pPr>
      <w:r>
        <w:t>5. Verified Calculation Defects and Migration Rules</w:t>
      </w:r>
    </w:p>
    <w:tbl>
      <w:tblPr>
        <w:tblStyle w:val="TableGrid"/>
        <w:tblW w:type="dxa" w:w="9360"/>
        <w:jc w:val="left"/>
        <w:tblLayout w:type="fixed"/>
        <w:tblLook w:firstColumn="1" w:firstRow="1" w:lastColumn="0" w:lastRow="0" w:noHBand="0" w:noVBand="1" w:val="04A0"/>
        <w:tblInd w:w="120" w:type="dxa"/>
      </w:tblPr>
      <w:tblGrid>
        <w:gridCol w:w="900"/>
        <w:gridCol w:w="1900"/>
        <w:gridCol w:w="3200"/>
        <w:gridCol w:w="3360"/>
      </w:tblGrid>
      <w:tr>
        <w:trPr>
          <w:tblHeader w:val="true"/>
          <w:cantSplit/>
        </w:trPr>
        <w:tc>
          <w:tcPr>
            <w:tcW w:type="dxa" w:w="900"/>
            <w:shd w:fill="F2F4F7"/>
            <w:tcMar>
              <w:top w:w="80" w:type="dxa"/>
              <w:start w:w="120" w:type="dxa"/>
              <w:bottom w:w="80" w:type="dxa"/>
              <w:end w:w="120" w:type="dxa"/>
            </w:tcMar>
            <w:vAlign w:val="center"/>
          </w:tcPr>
          <w:p>
            <w:pPr>
              <w:spacing w:after="0"/>
            </w:pPr>
            <w:r>
              <w:rPr>
                <w:rFonts w:ascii="Calibri" w:hAnsi="Calibri"/>
                <w:b/>
                <w:color w:val="0B2545"/>
                <w:sz w:val="16"/>
              </w:rPr>
              <w:t>Severity</w:t>
            </w:r>
          </w:p>
        </w:tc>
        <w:tc>
          <w:tcPr>
            <w:tcW w:type="dxa" w:w="1900"/>
            <w:shd w:fill="F2F4F7"/>
            <w:tcMar>
              <w:top w:w="80" w:type="dxa"/>
              <w:start w:w="120" w:type="dxa"/>
              <w:bottom w:w="80" w:type="dxa"/>
              <w:end w:w="120" w:type="dxa"/>
            </w:tcMar>
            <w:vAlign w:val="center"/>
          </w:tcPr>
          <w:p>
            <w:pPr>
              <w:spacing w:after="0"/>
            </w:pPr>
            <w:r>
              <w:rPr>
                <w:rFonts w:ascii="Calibri" w:hAnsi="Calibri"/>
                <w:b/>
                <w:color w:val="0B2545"/>
                <w:sz w:val="16"/>
              </w:rPr>
              <w:t>Finding</w:t>
            </w:r>
          </w:p>
        </w:tc>
        <w:tc>
          <w:tcPr>
            <w:tcW w:type="dxa" w:w="3200"/>
            <w:shd w:fill="F2F4F7"/>
            <w:tcMar>
              <w:top w:w="80" w:type="dxa"/>
              <w:start w:w="120" w:type="dxa"/>
              <w:bottom w:w="80" w:type="dxa"/>
              <w:end w:w="120" w:type="dxa"/>
            </w:tcMar>
            <w:vAlign w:val="center"/>
          </w:tcPr>
          <w:p>
            <w:pPr>
              <w:spacing w:after="0"/>
            </w:pPr>
            <w:r>
              <w:rPr>
                <w:rFonts w:ascii="Calibri" w:hAnsi="Calibri"/>
                <w:b/>
                <w:color w:val="0B2545"/>
                <w:sz w:val="16"/>
              </w:rPr>
              <w:t>Evidence/impact</w:t>
            </w:r>
          </w:p>
        </w:tc>
        <w:tc>
          <w:tcPr>
            <w:tcW w:type="dxa" w:w="3360"/>
            <w:shd w:fill="F2F4F7"/>
            <w:tcMar>
              <w:top w:w="80" w:type="dxa"/>
              <w:start w:w="120" w:type="dxa"/>
              <w:bottom w:w="80" w:type="dxa"/>
              <w:end w:w="120" w:type="dxa"/>
            </w:tcMar>
            <w:vAlign w:val="center"/>
          </w:tcPr>
          <w:p>
            <w:pPr>
              <w:spacing w:after="0"/>
            </w:pPr>
            <w:r>
              <w:rPr>
                <w:rFonts w:ascii="Calibri" w:hAnsi="Calibri"/>
                <w:b/>
                <w:color w:val="0B2545"/>
                <w:sz w:val="16"/>
              </w:rPr>
              <w:t>Required treatment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sz w:val="16"/>
              </w:rPr>
              <w:t>CRITICAL</w:t>
            </w:r>
          </w:p>
        </w:tc>
        <w:tc>
          <w:tcPr>
            <w:tcW w:type="dxa" w:w="1900"/>
            <w:tcMar>
              <w:top w:w="80" w:type="dxa"/>
              <w:start w:w="120" w:type="dxa"/>
              <w:bottom w:w="80" w:type="dxa"/>
              <w:end w:w="120" w:type="dxa"/>
            </w:tcMar>
            <w:vAlign w:val="center"/>
          </w:tcPr>
          <w:p>
            <w:pPr>
              <w:spacing w:after="0" w:line="240" w:lineRule="auto"/>
            </w:pPr>
            <w:r>
              <w:rPr>
                <w:rFonts w:ascii="Calibri" w:hAnsi="Calibri"/>
                <w:sz w:val="16"/>
              </w:rPr>
              <w:t>Average all scores is not comparable</w:t>
            </w:r>
          </w:p>
        </w:tc>
        <w:tc>
          <w:tcPr>
            <w:tcW w:type="dxa" w:w="3200"/>
            <w:tcMar>
              <w:top w:w="80" w:type="dxa"/>
              <w:start w:w="120" w:type="dxa"/>
              <w:bottom w:w="80" w:type="dxa"/>
              <w:end w:w="120" w:type="dxa"/>
            </w:tcMar>
            <w:vAlign w:val="center"/>
          </w:tcPr>
          <w:p>
            <w:pPr>
              <w:spacing w:after="0" w:line="240" w:lineRule="auto"/>
            </w:pPr>
            <w:r>
              <w:rPr>
                <w:rFonts w:ascii="Calibri" w:hAnsi="Calibri"/>
                <w:sz w:val="16"/>
              </w:rPr>
              <w:t>AVERAGE(D:K) silently reweights rows with missing fields. Five symbols use only E/F/G, while most use seven metrics. Missing evidence can improve or distort rank.</w:t>
            </w:r>
          </w:p>
        </w:tc>
        <w:tc>
          <w:tcPr>
            <w:tcW w:type="dxa" w:w="3360"/>
            <w:tcMar>
              <w:top w:w="80" w:type="dxa"/>
              <w:start w:w="120" w:type="dxa"/>
              <w:bottom w:w="80" w:type="dxa"/>
              <w:end w:w="120" w:type="dxa"/>
            </w:tcMar>
            <w:vAlign w:val="center"/>
          </w:tcPr>
          <w:p>
            <w:pPr>
              <w:spacing w:after="0" w:line="240" w:lineRule="auto"/>
            </w:pPr>
            <w:r>
              <w:rPr>
                <w:rFonts w:ascii="Calibri" w:hAnsi="Calibri"/>
                <w:sz w:val="16"/>
              </w:rPr>
              <w:t>Import as legacy evidence only; store component_count and completeness. Do not use for automated tiering.</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sz w:val="16"/>
              </w:rPr>
              <w:t>CRITICAL</w:t>
            </w:r>
          </w:p>
        </w:tc>
        <w:tc>
          <w:tcPr>
            <w:tcW w:type="dxa" w:w="1900"/>
            <w:tcMar>
              <w:top w:w="80" w:type="dxa"/>
              <w:start w:w="120" w:type="dxa"/>
              <w:bottom w:w="80" w:type="dxa"/>
              <w:end w:w="120" w:type="dxa"/>
            </w:tcMar>
            <w:vAlign w:val="center"/>
          </w:tcPr>
          <w:p>
            <w:pPr>
              <w:spacing w:after="0" w:line="240" w:lineRule="auto"/>
            </w:pPr>
            <w:r>
              <w:rPr>
                <w:rFonts w:ascii="Calibri" w:hAnsi="Calibri"/>
                <w:sz w:val="16"/>
              </w:rPr>
              <w:t>Car Value is mathematically wrong</w:t>
            </w:r>
          </w:p>
        </w:tc>
        <w:tc>
          <w:tcPr>
            <w:tcW w:type="dxa" w:w="3200"/>
            <w:tcMar>
              <w:top w:w="80" w:type="dxa"/>
              <w:start w:w="120" w:type="dxa"/>
              <w:bottom w:w="80" w:type="dxa"/>
              <w:end w:w="120" w:type="dxa"/>
            </w:tcMar>
            <w:vAlign w:val="center"/>
          </w:tcPr>
          <w:p>
            <w:pPr>
              <w:spacing w:after="0" w:line="240" w:lineRule="auto"/>
            </w:pPr>
            <w:r>
              <w:rPr>
                <w:rFonts w:ascii="Calibri" w:hAnsi="Calibri"/>
                <w:sz w:val="16"/>
              </w:rPr>
              <w:t>Current price is multiplied by average unit cost rather than Car-account quantity.</w:t>
            </w:r>
          </w:p>
        </w:tc>
        <w:tc>
          <w:tcPr>
            <w:tcW w:type="dxa" w:w="3360"/>
            <w:tcMar>
              <w:top w:w="80" w:type="dxa"/>
              <w:start w:w="120" w:type="dxa"/>
              <w:bottom w:w="80" w:type="dxa"/>
              <w:end w:w="120" w:type="dxa"/>
            </w:tcMar>
            <w:vAlign w:val="center"/>
          </w:tcPr>
          <w:p>
            <w:pPr>
              <w:spacing w:after="0" w:line="240" w:lineRule="auto"/>
            </w:pPr>
            <w:r>
              <w:rPr>
                <w:rFonts w:ascii="Calibri" w:hAnsi="Calibri"/>
                <w:sz w:val="16"/>
              </w:rPr>
              <w:t>Recalculate from lots. Do not use U as seed or reconciliation truth.</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sz w:val="16"/>
              </w:rPr>
              <w:t>HIGH</w:t>
            </w:r>
          </w:p>
        </w:tc>
        <w:tc>
          <w:tcPr>
            <w:tcW w:type="dxa" w:w="1900"/>
            <w:tcMar>
              <w:top w:w="80" w:type="dxa"/>
              <w:start w:w="120" w:type="dxa"/>
              <w:bottom w:w="80" w:type="dxa"/>
              <w:end w:w="120" w:type="dxa"/>
            </w:tcMar>
            <w:vAlign w:val="center"/>
          </w:tcPr>
          <w:p>
            <w:pPr>
              <w:spacing w:after="0" w:line="240" w:lineRule="auto"/>
            </w:pPr>
            <w:r>
              <w:rPr>
                <w:rFonts w:ascii="Calibri" w:hAnsi="Calibri"/>
                <w:sz w:val="16"/>
              </w:rPr>
              <w:t>Yield on Cost is broken</w:t>
            </w:r>
          </w:p>
        </w:tc>
        <w:tc>
          <w:tcPr>
            <w:tcW w:type="dxa" w:w="3200"/>
            <w:tcMar>
              <w:top w:w="80" w:type="dxa"/>
              <w:start w:w="120" w:type="dxa"/>
              <w:bottom w:w="80" w:type="dxa"/>
              <w:end w:w="120" w:type="dxa"/>
            </w:tcMar>
            <w:vAlign w:val="center"/>
          </w:tcPr>
          <w:p>
            <w:pPr>
              <w:spacing w:after="0" w:line="240" w:lineRule="auto"/>
            </w:pPr>
            <w:r>
              <w:rPr>
                <w:rFonts w:ascii="Calibri" w:hAnsi="Calibri"/>
                <w:sz w:val="16"/>
              </w:rPr>
              <w:t>The denominator is #REF; all rows return N/A.</w:t>
            </w:r>
          </w:p>
        </w:tc>
        <w:tc>
          <w:tcPr>
            <w:tcW w:type="dxa" w:w="3360"/>
            <w:tcMar>
              <w:top w:w="80" w:type="dxa"/>
              <w:start w:w="120" w:type="dxa"/>
              <w:bottom w:w="80" w:type="dxa"/>
              <w:end w:w="120" w:type="dxa"/>
            </w:tcMar>
            <w:vAlign w:val="center"/>
          </w:tcPr>
          <w:p>
            <w:pPr>
              <w:spacing w:after="0" w:line="240" w:lineRule="auto"/>
            </w:pPr>
            <w:r>
              <w:rPr>
                <w:rFonts w:ascii="Calibri" w:hAnsi="Calibri"/>
                <w:sz w:val="16"/>
              </w:rPr>
              <w:t>Implement the confirmed Plan-based YOC formula from PlanHistory and original cost.</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sz w:val="16"/>
              </w:rPr>
              <w:t>HIGH</w:t>
            </w:r>
          </w:p>
        </w:tc>
        <w:tc>
          <w:tcPr>
            <w:tcW w:type="dxa" w:w="1900"/>
            <w:tcMar>
              <w:top w:w="80" w:type="dxa"/>
              <w:start w:w="120" w:type="dxa"/>
              <w:bottom w:w="80" w:type="dxa"/>
              <w:end w:w="120" w:type="dxa"/>
            </w:tcMar>
            <w:vAlign w:val="center"/>
          </w:tcPr>
          <w:p>
            <w:pPr>
              <w:spacing w:after="0" w:line="240" w:lineRule="auto"/>
            </w:pPr>
            <w:r>
              <w:rPr>
                <w:rFonts w:ascii="Calibri" w:hAnsi="Calibri"/>
                <w:sz w:val="16"/>
              </w:rPr>
              <w:t>Bull period cannot be reproduced</w:t>
            </w:r>
          </w:p>
        </w:tc>
        <w:tc>
          <w:tcPr>
            <w:tcW w:type="dxa" w:w="3200"/>
            <w:tcMar>
              <w:top w:w="80" w:type="dxa"/>
              <w:start w:w="120" w:type="dxa"/>
              <w:bottom w:w="80" w:type="dxa"/>
              <w:end w:w="120" w:type="dxa"/>
            </w:tcMar>
            <w:vAlign w:val="center"/>
          </w:tcPr>
          <w:p>
            <w:pPr>
              <w:spacing w:after="0" w:line="240" w:lineRule="auto"/>
            </w:pPr>
            <w:r>
              <w:rPr>
                <w:rFonts w:ascii="Calibri" w:hAnsi="Calibri"/>
                <w:sz w:val="16"/>
              </w:rPr>
              <w:t>The bull result has no dates, benchmark or method in the table. “Ranking as of 9/20/25” below the table suggests context but is not canonical period metadata.</w:t>
            </w:r>
          </w:p>
        </w:tc>
        <w:tc>
          <w:tcPr>
            <w:tcW w:type="dxa" w:w="3360"/>
            <w:tcMar>
              <w:top w:w="80" w:type="dxa"/>
              <w:start w:w="120" w:type="dxa"/>
              <w:bottom w:w="80" w:type="dxa"/>
              <w:end w:w="120" w:type="dxa"/>
            </w:tcMar>
            <w:vAlign w:val="center"/>
          </w:tcPr>
          <w:p>
            <w:pPr>
              <w:spacing w:after="0" w:line="240" w:lineRule="auto"/>
            </w:pPr>
            <w:r>
              <w:rPr>
                <w:rFonts w:ascii="Calibri" w:hAnsi="Calibri"/>
                <w:sz w:val="16"/>
              </w:rPr>
              <w:t>Preserve values as legacy imported evidence; require exact dates/method for new calculations.</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sz w:val="16"/>
              </w:rPr>
              <w:t>HIGH</w:t>
            </w:r>
          </w:p>
        </w:tc>
        <w:tc>
          <w:tcPr>
            <w:tcW w:type="dxa" w:w="1900"/>
            <w:tcMar>
              <w:top w:w="80" w:type="dxa"/>
              <w:start w:w="120" w:type="dxa"/>
              <w:bottom w:w="80" w:type="dxa"/>
              <w:end w:w="120" w:type="dxa"/>
            </w:tcMar>
            <w:vAlign w:val="center"/>
          </w:tcPr>
          <w:p>
            <w:pPr>
              <w:spacing w:after="0" w:line="240" w:lineRule="auto"/>
            </w:pPr>
            <w:r>
              <w:rPr>
                <w:rFonts w:ascii="Calibri" w:hAnsi="Calibri"/>
                <w:sz w:val="16"/>
              </w:rPr>
              <w:t>Backtest metrics are unbenchmarked</w:t>
            </w:r>
          </w:p>
        </w:tc>
        <w:tc>
          <w:tcPr>
            <w:tcW w:type="dxa" w:w="3200"/>
            <w:tcMar>
              <w:top w:w="80" w:type="dxa"/>
              <w:start w:w="120" w:type="dxa"/>
              <w:bottom w:w="80" w:type="dxa"/>
              <w:end w:w="120" w:type="dxa"/>
            </w:tcMar>
            <w:vAlign w:val="center"/>
          </w:tcPr>
          <w:p>
            <w:pPr>
              <w:spacing w:after="0" w:line="240" w:lineRule="auto"/>
            </w:pPr>
            <w:r>
              <w:rPr>
                <w:rFonts w:ascii="Calibri" w:hAnsi="Calibri"/>
                <w:sz w:val="16"/>
              </w:rPr>
              <w:t>Raw returns alone cannot distinguish market exposure from position skill or resilience.</w:t>
            </w:r>
          </w:p>
        </w:tc>
        <w:tc>
          <w:tcPr>
            <w:tcW w:type="dxa" w:w="3360"/>
            <w:tcMar>
              <w:top w:w="80" w:type="dxa"/>
              <w:start w:w="120" w:type="dxa"/>
              <w:bottom w:w="80" w:type="dxa"/>
              <w:end w:w="120" w:type="dxa"/>
            </w:tcMar>
            <w:vAlign w:val="center"/>
          </w:tcPr>
          <w:p>
            <w:pPr>
              <w:spacing w:after="0" w:line="240" w:lineRule="auto"/>
            </w:pPr>
            <w:r>
              <w:rPr>
                <w:rFonts w:ascii="Calibri" w:hAnsi="Calibri"/>
                <w:sz w:val="16"/>
              </w:rPr>
              <w:t>Calculate relative return and capture versus an approved benchmark.</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sz w:val="16"/>
              </w:rPr>
              <w:t>MEDIUM</w:t>
            </w:r>
          </w:p>
        </w:tc>
        <w:tc>
          <w:tcPr>
            <w:tcW w:type="dxa" w:w="1900"/>
            <w:tcMar>
              <w:top w:w="80" w:type="dxa"/>
              <w:start w:w="120" w:type="dxa"/>
              <w:bottom w:w="80" w:type="dxa"/>
              <w:end w:w="120" w:type="dxa"/>
            </w:tcMar>
            <w:vAlign w:val="center"/>
          </w:tcPr>
          <w:p>
            <w:pPr>
              <w:spacing w:after="0" w:line="240" w:lineRule="auto"/>
            </w:pPr>
            <w:r>
              <w:rPr>
                <w:rFonts w:ascii="Calibri" w:hAnsi="Calibri"/>
                <w:sz w:val="16"/>
              </w:rPr>
              <w:t>Portfolio allocation is filter-dependent</w:t>
            </w:r>
          </w:p>
        </w:tc>
        <w:tc>
          <w:tcPr>
            <w:tcW w:type="dxa" w:w="3200"/>
            <w:tcMar>
              <w:top w:w="80" w:type="dxa"/>
              <w:start w:w="120" w:type="dxa"/>
              <w:bottom w:w="80" w:type="dxa"/>
              <w:end w:w="120" w:type="dxa"/>
            </w:tcMar>
            <w:vAlign w:val="center"/>
          </w:tcPr>
          <w:p>
            <w:pPr>
              <w:spacing w:after="0" w:line="240" w:lineRule="auto"/>
            </w:pPr>
            <w:r>
              <w:rPr>
                <w:rFonts w:ascii="Calibri" w:hAnsi="Calibri"/>
                <w:sz w:val="16"/>
              </w:rPr>
              <w:t>P uses the visible SUBTOTAL denominator.</w:t>
            </w:r>
          </w:p>
        </w:tc>
        <w:tc>
          <w:tcPr>
            <w:tcW w:type="dxa" w:w="3360"/>
            <w:tcMar>
              <w:top w:w="80" w:type="dxa"/>
              <w:start w:w="120" w:type="dxa"/>
              <w:bottom w:w="80" w:type="dxa"/>
              <w:end w:w="120" w:type="dxa"/>
            </w:tcMar>
            <w:vAlign w:val="center"/>
          </w:tcPr>
          <w:p>
            <w:pPr>
              <w:spacing w:after="0" w:line="240" w:lineRule="auto"/>
            </w:pPr>
            <w:r>
              <w:rPr>
                <w:rFonts w:ascii="Calibri" w:hAnsi="Calibri"/>
                <w:sz w:val="16"/>
              </w:rPr>
              <w:t>Expose a stable full-portfolio allocation plus an explicitly named visible-subset share.</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sz w:val="16"/>
              </w:rPr>
              <w:t>MEDIUM</w:t>
            </w:r>
          </w:p>
        </w:tc>
        <w:tc>
          <w:tcPr>
            <w:tcW w:type="dxa" w:w="1900"/>
            <w:tcMar>
              <w:top w:w="80" w:type="dxa"/>
              <w:start w:w="120" w:type="dxa"/>
              <w:bottom w:w="80" w:type="dxa"/>
              <w:end w:w="120" w:type="dxa"/>
            </w:tcMar>
            <w:vAlign w:val="center"/>
          </w:tcPr>
          <w:p>
            <w:pPr>
              <w:spacing w:after="0" w:line="240" w:lineRule="auto"/>
            </w:pPr>
            <w:r>
              <w:rPr>
                <w:rFonts w:ascii="Calibri" w:hAnsi="Calibri"/>
                <w:sz w:val="16"/>
              </w:rPr>
              <w:t>Fixed account columns will not scale</w:t>
            </w:r>
          </w:p>
        </w:tc>
        <w:tc>
          <w:tcPr>
            <w:tcW w:type="dxa" w:w="3200"/>
            <w:tcMar>
              <w:top w:w="80" w:type="dxa"/>
              <w:start w:w="120" w:type="dxa"/>
              <w:bottom w:w="80" w:type="dxa"/>
              <w:end w:w="120" w:type="dxa"/>
            </w:tcMar>
            <w:vAlign w:val="center"/>
          </w:tcPr>
          <w:p>
            <w:pPr>
              <w:spacing w:after="0" w:line="240" w:lineRule="auto"/>
            </w:pPr>
            <w:r>
              <w:rPr>
                <w:rFonts w:ascii="Calibri" w:hAnsi="Calibri"/>
                <w:sz w:val="16"/>
              </w:rPr>
              <w:t>Accounts are embedded as column names and formulas.</w:t>
            </w:r>
          </w:p>
        </w:tc>
        <w:tc>
          <w:tcPr>
            <w:tcW w:type="dxa" w:w="3360"/>
            <w:tcMar>
              <w:top w:w="80" w:type="dxa"/>
              <w:start w:w="120" w:type="dxa"/>
              <w:bottom w:w="80" w:type="dxa"/>
              <w:end w:w="120" w:type="dxa"/>
            </w:tcMar>
            <w:vAlign w:val="center"/>
          </w:tcPr>
          <w:p>
            <w:pPr>
              <w:spacing w:after="0" w:line="240" w:lineRule="auto"/>
            </w:pPr>
            <w:r>
              <w:rPr>
                <w:rFonts w:ascii="Calibri" w:hAnsi="Calibri"/>
                <w:sz w:val="16"/>
              </w:rPr>
              <w:t>Use generic Account and PositionAccountSummary views.</w:t>
            </w:r>
          </w:p>
        </w:tc>
      </w:tr>
      <w:tr>
        <w:trPr>
          <w:cantSplit/>
        </w:trPr>
        <w:tc>
          <w:tcPr>
            <w:tcW w:type="dxa" w:w="900"/>
            <w:tcMar>
              <w:top w:w="80" w:type="dxa"/>
              <w:start w:w="120" w:type="dxa"/>
              <w:bottom w:w="80" w:type="dxa"/>
              <w:end w:w="120" w:type="dxa"/>
            </w:tcMar>
            <w:vAlign w:val="center"/>
          </w:tcPr>
          <w:p>
            <w:pPr>
              <w:spacing w:after="0" w:line="240" w:lineRule="auto"/>
            </w:pPr>
            <w:r>
              <w:rPr>
                <w:rFonts w:ascii="Calibri" w:hAnsi="Calibri"/>
                <w:sz w:val="16"/>
              </w:rPr>
              <w:t>MEDIUM</w:t>
            </w:r>
          </w:p>
        </w:tc>
        <w:tc>
          <w:tcPr>
            <w:tcW w:type="dxa" w:w="1900"/>
            <w:tcMar>
              <w:top w:w="80" w:type="dxa"/>
              <w:start w:w="120" w:type="dxa"/>
              <w:bottom w:w="80" w:type="dxa"/>
              <w:end w:w="120" w:type="dxa"/>
            </w:tcMar>
            <w:vAlign w:val="center"/>
          </w:tcPr>
          <w:p>
            <w:pPr>
              <w:spacing w:after="0" w:line="240" w:lineRule="auto"/>
            </w:pPr>
            <w:r>
              <w:rPr>
                <w:rFonts w:ascii="Calibri" w:hAnsi="Calibri"/>
                <w:sz w:val="16"/>
              </w:rPr>
              <w:t>Classification fields are inconsistent</w:t>
            </w:r>
          </w:p>
        </w:tc>
        <w:tc>
          <w:tcPr>
            <w:tcW w:type="dxa" w:w="3200"/>
            <w:tcMar>
              <w:top w:w="80" w:type="dxa"/>
              <w:start w:w="120" w:type="dxa"/>
              <w:bottom w:w="80" w:type="dxa"/>
              <w:end w:w="120" w:type="dxa"/>
            </w:tcMar>
            <w:vAlign w:val="center"/>
          </w:tcPr>
          <w:p>
            <w:pPr>
              <w:spacing w:after="0" w:line="240" w:lineRule="auto"/>
            </w:pPr>
            <w:r>
              <w:rPr>
                <w:rFonts w:ascii="Calibri" w:hAnsi="Calibri"/>
                <w:sz w:val="16"/>
              </w:rPr>
              <w:t>Group, provider, Type2 and tax values contain blanks, whitespace, spelling/case variations and zero placeholders.</w:t>
            </w:r>
          </w:p>
        </w:tc>
        <w:tc>
          <w:tcPr>
            <w:tcW w:type="dxa" w:w="3360"/>
            <w:tcMar>
              <w:top w:w="80" w:type="dxa"/>
              <w:start w:w="120" w:type="dxa"/>
              <w:bottom w:w="80" w:type="dxa"/>
              <w:end w:w="120" w:type="dxa"/>
            </w:tcMar>
            <w:vAlign w:val="center"/>
          </w:tcPr>
          <w:p>
            <w:pPr>
              <w:spacing w:after="0" w:line="240" w:lineRule="auto"/>
            </w:pPr>
            <w:r>
              <w:rPr>
                <w:rFonts w:ascii="Calibri" w:hAnsi="Calibri"/>
                <w:sz w:val="16"/>
              </w:rPr>
              <w:t>Normalize through controlled vocabularies while preserving imported source text and audit status.</w:t>
            </w:r>
          </w:p>
        </w:tc>
      </w:tr>
    </w:tbl>
    <w:p>
      <w:pPr>
        <w:spacing w:after="0"/>
      </w:pPr>
    </w:p>
    <w:p>
      <w:pPr>
        <w:pStyle w:val="Heading1"/>
      </w:pPr>
      <w:r>
        <w:t>6. Bull/Bear Backtesting: Current Method and Target Enhancement</w:t>
      </w:r>
    </w:p>
    <w:p>
      <w:r>
        <w:rPr>
          <w:rFonts w:ascii="Calibri" w:hAnsi="Calibri"/>
          <w:sz w:val="22"/>
        </w:rPr>
        <w:t>The manually selected-period approach is valuable. It asks a decision-relevant question that full-history averages often obscure: how did each position behave during the same stress and recovery environment? The current sheet already separates price return from total return during the bear period, which is especially important for high-distribution funds because income can partially offset price erosion.</w:t>
      </w:r>
    </w:p>
    <w:p>
      <w:pPr>
        <w:pStyle w:val="Heading2"/>
      </w:pPr>
      <w:r>
        <w:t>6.1 What the current data proves</w:t>
      </w:r>
    </w:p>
    <w:tbl>
      <w:tblPr>
        <w:tblStyle w:val="TableGrid"/>
        <w:tblW w:type="dxa" w:w="9360"/>
        <w:jc w:val="left"/>
        <w:tblLayout w:type="fixed"/>
        <w:tblLook w:firstColumn="1" w:firstRow="1" w:lastColumn="0" w:lastRow="0" w:noHBand="0" w:noVBand="1" w:val="04A0"/>
        <w:tblInd w:w="120" w:type="dxa"/>
      </w:tblPr>
      <w:tblGrid>
        <w:gridCol w:w="1900"/>
        <w:gridCol w:w="3400"/>
        <w:gridCol w:w="4060"/>
      </w:tblGrid>
      <w:tr>
        <w:trPr>
          <w:tblHeader w:val="true"/>
          <w:cantSplit/>
        </w:trPr>
        <w:tc>
          <w:tcPr>
            <w:tcW w:type="dxa" w:w="1900"/>
            <w:shd w:fill="F2F4F7"/>
            <w:tcMar>
              <w:top w:w="80" w:type="dxa"/>
              <w:start w:w="120" w:type="dxa"/>
              <w:bottom w:w="80" w:type="dxa"/>
              <w:end w:w="120" w:type="dxa"/>
            </w:tcMar>
            <w:vAlign w:val="center"/>
          </w:tcPr>
          <w:p>
            <w:pPr>
              <w:spacing w:after="0"/>
            </w:pPr>
            <w:r>
              <w:rPr>
                <w:rFonts w:ascii="Calibri" w:hAnsi="Calibri"/>
                <w:b/>
                <w:color w:val="0B2545"/>
                <w:sz w:val="17"/>
              </w:rPr>
              <w:t>Current measure</w:t>
            </w:r>
          </w:p>
        </w:tc>
        <w:tc>
          <w:tcPr>
            <w:tcW w:type="dxa" w:w="3400"/>
            <w:shd w:fill="F2F4F7"/>
            <w:tcMar>
              <w:top w:w="80" w:type="dxa"/>
              <w:start w:w="120" w:type="dxa"/>
              <w:bottom w:w="80" w:type="dxa"/>
              <w:end w:w="120" w:type="dxa"/>
            </w:tcMar>
            <w:vAlign w:val="center"/>
          </w:tcPr>
          <w:p>
            <w:pPr>
              <w:spacing w:after="0"/>
            </w:pPr>
            <w:r>
              <w:rPr>
                <w:rFonts w:ascii="Calibri" w:hAnsi="Calibri"/>
                <w:b/>
                <w:color w:val="0B2545"/>
                <w:sz w:val="17"/>
              </w:rPr>
              <w:t>Decision value</w:t>
            </w:r>
          </w:p>
        </w:tc>
        <w:tc>
          <w:tcPr>
            <w:tcW w:type="dxa" w:w="4060"/>
            <w:shd w:fill="F2F4F7"/>
            <w:tcMar>
              <w:top w:w="80" w:type="dxa"/>
              <w:start w:w="120" w:type="dxa"/>
              <w:bottom w:w="80" w:type="dxa"/>
              <w:end w:w="120" w:type="dxa"/>
            </w:tcMar>
            <w:vAlign w:val="center"/>
          </w:tcPr>
          <w:p>
            <w:pPr>
              <w:spacing w:after="0"/>
            </w:pPr>
            <w:r>
              <w:rPr>
                <w:rFonts w:ascii="Calibri" w:hAnsi="Calibri"/>
                <w:b/>
                <w:color w:val="0B2545"/>
                <w:sz w:val="17"/>
              </w:rPr>
              <w:t>Current limitation</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sz w:val="17"/>
              </w:rPr>
              <w:t>Bear price return</w:t>
            </w:r>
          </w:p>
        </w:tc>
        <w:tc>
          <w:tcPr>
            <w:tcW w:type="dxa" w:w="3400"/>
            <w:tcMar>
              <w:top w:w="80" w:type="dxa"/>
              <w:start w:w="120" w:type="dxa"/>
              <w:bottom w:w="80" w:type="dxa"/>
              <w:end w:w="120" w:type="dxa"/>
            </w:tcMar>
            <w:vAlign w:val="center"/>
          </w:tcPr>
          <w:p>
            <w:pPr>
              <w:spacing w:after="0" w:line="240" w:lineRule="auto"/>
            </w:pPr>
            <w:r>
              <w:rPr>
                <w:rFonts w:ascii="Calibri" w:hAnsi="Calibri"/>
                <w:sz w:val="17"/>
              </w:rPr>
              <w:t>Shows principal/NAV behavior without credit for distributions.</w:t>
            </w:r>
          </w:p>
        </w:tc>
        <w:tc>
          <w:tcPr>
            <w:tcW w:type="dxa" w:w="4060"/>
            <w:tcMar>
              <w:top w:w="80" w:type="dxa"/>
              <w:start w:w="120" w:type="dxa"/>
              <w:bottom w:w="80" w:type="dxa"/>
              <w:end w:w="120" w:type="dxa"/>
            </w:tcMar>
            <w:vAlign w:val="center"/>
          </w:tcPr>
          <w:p>
            <w:pPr>
              <w:spacing w:after="0" w:line="240" w:lineRule="auto"/>
            </w:pPr>
            <w:r>
              <w:rPr>
                <w:rFonts w:ascii="Calibri" w:hAnsi="Calibri"/>
                <w:sz w:val="17"/>
              </w:rPr>
              <w:t>Exact year, price source and corporate-action method are not stored.</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sz w:val="17"/>
              </w:rPr>
              <w:t>Bear total return</w:t>
            </w:r>
          </w:p>
        </w:tc>
        <w:tc>
          <w:tcPr>
            <w:tcW w:type="dxa" w:w="3400"/>
            <w:tcMar>
              <w:top w:w="80" w:type="dxa"/>
              <w:start w:w="120" w:type="dxa"/>
              <w:bottom w:w="80" w:type="dxa"/>
              <w:end w:w="120" w:type="dxa"/>
            </w:tcMar>
            <w:vAlign w:val="center"/>
          </w:tcPr>
          <w:p>
            <w:pPr>
              <w:spacing w:after="0" w:line="240" w:lineRule="auto"/>
            </w:pPr>
            <w:r>
              <w:rPr>
                <w:rFonts w:ascii="Calibri" w:hAnsi="Calibri"/>
                <w:sz w:val="17"/>
              </w:rPr>
              <w:t>Shows whether distributions cushioned the bear-period result.</w:t>
            </w:r>
          </w:p>
        </w:tc>
        <w:tc>
          <w:tcPr>
            <w:tcW w:type="dxa" w:w="4060"/>
            <w:tcMar>
              <w:top w:w="80" w:type="dxa"/>
              <w:start w:w="120" w:type="dxa"/>
              <w:bottom w:w="80" w:type="dxa"/>
              <w:end w:w="120" w:type="dxa"/>
            </w:tcMar>
            <w:vAlign w:val="center"/>
          </w:tcPr>
          <w:p>
            <w:pPr>
              <w:spacing w:after="0" w:line="240" w:lineRule="auto"/>
            </w:pPr>
            <w:r>
              <w:rPr>
                <w:rFonts w:ascii="Calibri" w:hAnsi="Calibri"/>
                <w:sz w:val="17"/>
              </w:rPr>
              <w:t>Reinvestment versus cash-distribution methodology is not stored.</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sz w:val="17"/>
              </w:rPr>
              <w:t>Bull total return</w:t>
            </w:r>
          </w:p>
        </w:tc>
        <w:tc>
          <w:tcPr>
            <w:tcW w:type="dxa" w:w="3400"/>
            <w:tcMar>
              <w:top w:w="80" w:type="dxa"/>
              <w:start w:w="120" w:type="dxa"/>
              <w:bottom w:w="80" w:type="dxa"/>
              <w:end w:w="120" w:type="dxa"/>
            </w:tcMar>
            <w:vAlign w:val="center"/>
          </w:tcPr>
          <w:p>
            <w:pPr>
              <w:spacing w:after="0" w:line="240" w:lineRule="auto"/>
            </w:pPr>
            <w:r>
              <w:rPr>
                <w:rFonts w:ascii="Calibri" w:hAnsi="Calibri"/>
                <w:sz w:val="17"/>
              </w:rPr>
              <w:t>Shows upside/recovery participation after or during the selected positive period.</w:t>
            </w:r>
          </w:p>
        </w:tc>
        <w:tc>
          <w:tcPr>
            <w:tcW w:type="dxa" w:w="4060"/>
            <w:tcMar>
              <w:top w:w="80" w:type="dxa"/>
              <w:start w:w="120" w:type="dxa"/>
              <w:bottom w:w="80" w:type="dxa"/>
              <w:end w:w="120" w:type="dxa"/>
            </w:tcMar>
            <w:vAlign w:val="center"/>
          </w:tcPr>
          <w:p>
            <w:pPr>
              <w:spacing w:after="0" w:line="240" w:lineRule="auto"/>
            </w:pPr>
            <w:r>
              <w:rPr>
                <w:rFonts w:ascii="Calibri" w:hAnsi="Calibri"/>
                <w:sz w:val="17"/>
              </w:rPr>
              <w:t>No price-only bull measure and no exact dates/benchmark are stored.</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sz w:val="17"/>
              </w:rPr>
              <w:t>SPY and BTC-USD rows</w:t>
            </w:r>
          </w:p>
        </w:tc>
        <w:tc>
          <w:tcPr>
            <w:tcW w:type="dxa" w:w="3400"/>
            <w:tcMar>
              <w:top w:w="80" w:type="dxa"/>
              <w:start w:w="120" w:type="dxa"/>
              <w:bottom w:w="80" w:type="dxa"/>
              <w:end w:w="120" w:type="dxa"/>
            </w:tcMar>
            <w:vAlign w:val="center"/>
          </w:tcPr>
          <w:p>
            <w:pPr>
              <w:spacing w:after="0" w:line="240" w:lineRule="auto"/>
            </w:pPr>
            <w:r>
              <w:rPr>
                <w:rFonts w:ascii="Calibri" w:hAnsi="Calibri"/>
                <w:sz w:val="17"/>
              </w:rPr>
              <w:t>Provide potential benchmark observations in the same table.</w:t>
            </w:r>
          </w:p>
        </w:tc>
        <w:tc>
          <w:tcPr>
            <w:tcW w:type="dxa" w:w="4060"/>
            <w:tcMar>
              <w:top w:w="80" w:type="dxa"/>
              <w:start w:w="120" w:type="dxa"/>
              <w:bottom w:w="80" w:type="dxa"/>
              <w:end w:w="120" w:type="dxa"/>
            </w:tcMar>
            <w:vAlign w:val="center"/>
          </w:tcPr>
          <w:p>
            <w:pPr>
              <w:spacing w:after="0" w:line="240" w:lineRule="auto"/>
            </w:pPr>
            <w:r>
              <w:rPr>
                <w:rFonts w:ascii="Calibri" w:hAnsi="Calibri"/>
                <w:sz w:val="17"/>
              </w:rPr>
              <w:t>The workbook does not formally link a position to the appropriate benchmark.</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sz w:val="17"/>
              </w:rPr>
              <w:t>Average all scores</w:t>
            </w:r>
          </w:p>
        </w:tc>
        <w:tc>
          <w:tcPr>
            <w:tcW w:type="dxa" w:w="3400"/>
            <w:tcMar>
              <w:top w:w="80" w:type="dxa"/>
              <w:start w:w="120" w:type="dxa"/>
              <w:bottom w:w="80" w:type="dxa"/>
              <w:end w:w="120" w:type="dxa"/>
            </w:tcMar>
            <w:vAlign w:val="center"/>
          </w:tcPr>
          <w:p>
            <w:pPr>
              <w:spacing w:after="0" w:line="240" w:lineRule="auto"/>
            </w:pPr>
            <w:r>
              <w:rPr>
                <w:rFonts w:ascii="Calibri" w:hAnsi="Calibri"/>
                <w:sz w:val="17"/>
              </w:rPr>
              <w:t>Attempts to combine income, current P&amp;L, diversification and regime behavior.</w:t>
            </w:r>
          </w:p>
        </w:tc>
        <w:tc>
          <w:tcPr>
            <w:tcW w:type="dxa" w:w="4060"/>
            <w:tcMar>
              <w:top w:w="80" w:type="dxa"/>
              <w:start w:w="120" w:type="dxa"/>
              <w:bottom w:w="80" w:type="dxa"/>
              <w:end w:w="120" w:type="dxa"/>
            </w:tcMar>
            <w:vAlign w:val="center"/>
          </w:tcPr>
          <w:p>
            <w:pPr>
              <w:spacing w:after="0" w:line="240" w:lineRule="auto"/>
            </w:pPr>
            <w:r>
              <w:rPr>
                <w:rFonts w:ascii="Calibri" w:hAnsi="Calibri"/>
                <w:sz w:val="17"/>
              </w:rPr>
              <w:t>Raw metrics are mixed without normalization, fixed eligibility, weights or confidence.</w:t>
            </w:r>
          </w:p>
        </w:tc>
      </w:tr>
    </w:tbl>
    <w:p>
      <w:pPr>
        <w:spacing w:after="0"/>
      </w:pPr>
    </w:p>
    <w:p>
      <w:pPr>
        <w:pStyle w:val="Heading2"/>
      </w:pPr>
      <w:r>
        <w:t>6.2 Derived evidence that can improve investment decisions</w:t>
      </w:r>
    </w:p>
    <w:tbl>
      <w:tblPr>
        <w:tblStyle w:val="TableGrid"/>
        <w:tblW w:type="dxa" w:w="9360"/>
        <w:jc w:val="left"/>
        <w:tblLayout w:type="fixed"/>
        <w:tblLook w:firstColumn="1" w:firstRow="1" w:lastColumn="0" w:lastRow="0" w:noHBand="0" w:noVBand="1" w:val="04A0"/>
        <w:tblInd w:w="120" w:type="dxa"/>
      </w:tblPr>
      <w:tblGrid>
        <w:gridCol w:w="1650"/>
        <w:gridCol w:w="3900"/>
        <w:gridCol w:w="3810"/>
      </w:tblGrid>
      <w:tr>
        <w:trPr>
          <w:tblHeader w:val="true"/>
          <w:cantSplit/>
        </w:trPr>
        <w:tc>
          <w:tcPr>
            <w:tcW w:type="dxa" w:w="1650"/>
            <w:shd w:fill="F2F4F7"/>
            <w:tcMar>
              <w:top w:w="80" w:type="dxa"/>
              <w:start w:w="120" w:type="dxa"/>
              <w:bottom w:w="80" w:type="dxa"/>
              <w:end w:w="120" w:type="dxa"/>
            </w:tcMar>
            <w:vAlign w:val="center"/>
          </w:tcPr>
          <w:p>
            <w:pPr>
              <w:spacing w:after="0"/>
            </w:pPr>
            <w:r>
              <w:rPr>
                <w:rFonts w:ascii="Calibri" w:hAnsi="Calibri"/>
                <w:b/>
                <w:color w:val="0B2545"/>
                <w:sz w:val="16"/>
              </w:rPr>
              <w:t>Metric</w:t>
            </w:r>
          </w:p>
        </w:tc>
        <w:tc>
          <w:tcPr>
            <w:tcW w:type="dxa" w:w="3900"/>
            <w:shd w:fill="F2F4F7"/>
            <w:tcMar>
              <w:top w:w="80" w:type="dxa"/>
              <w:start w:w="120" w:type="dxa"/>
              <w:bottom w:w="80" w:type="dxa"/>
              <w:end w:w="120" w:type="dxa"/>
            </w:tcMar>
            <w:vAlign w:val="center"/>
          </w:tcPr>
          <w:p>
            <w:pPr>
              <w:spacing w:after="0"/>
            </w:pPr>
            <w:r>
              <w:rPr>
                <w:rFonts w:ascii="Calibri" w:hAnsi="Calibri"/>
                <w:b/>
                <w:color w:val="0B2545"/>
                <w:sz w:val="16"/>
              </w:rPr>
              <w:t>Definition</w:t>
            </w:r>
          </w:p>
        </w:tc>
        <w:tc>
          <w:tcPr>
            <w:tcW w:type="dxa" w:w="3810"/>
            <w:shd w:fill="F2F4F7"/>
            <w:tcMar>
              <w:top w:w="80" w:type="dxa"/>
              <w:start w:w="120" w:type="dxa"/>
              <w:bottom w:w="80" w:type="dxa"/>
              <w:end w:w="120" w:type="dxa"/>
            </w:tcMar>
            <w:vAlign w:val="center"/>
          </w:tcPr>
          <w:p>
            <w:pPr>
              <w:spacing w:after="0"/>
            </w:pPr>
            <w:r>
              <w:rPr>
                <w:rFonts w:ascii="Calibri" w:hAnsi="Calibri"/>
                <w:b/>
                <w:color w:val="0B2545"/>
                <w:sz w:val="16"/>
              </w:rPr>
              <w:t>Use</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Distribution cushion</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Bear total return - bear price return, when both use the same period and compatible methodology.</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Separates income contribution from price behavior. Label as approximate when total return assumes reinvestment.</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Bear relative return</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Position bear total return - benchmark bear total return.</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Positive values indicate stress-period outperformance.</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Downside capture</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Position bear total return / benchmark bear total return when the benchmark is negative.</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Quantifies how much benchmark downside the position captured; lower is generally better, but positive-return cases require explicit handling.</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Bull relative return</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Position bull total return - benchmark bull total return.</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Identifies upside participation beyond market movement.</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Upside capture</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Position bull total return / benchmark bull total return when benchmark return is positive.</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Distinguishes defensive positions from high-beta recovery positions.</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Recovery ratio</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Recovery gained from stress-period trough divided by the prior drawdown, using dated prices.</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Shows whether and how fully principal recovered.</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Recovery days</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Calendar or trading days from trough to recovery threshold.</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Distinguishes a quick rebound from long-term capital impairment.</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Maximum drawdown</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Largest peak-to-trough loss inside the selected period.</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Avoids endpoint bias where start/end returns hide a deeper interim loss.</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Income reliability in period</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Actual eligible distributions / planned distributions, plus miss count and variance.</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Tests whether the income engine held up during stress.</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NAV persistence</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Price return considered with distributions and current original-cost P&amp;L.</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Flags high payout that is funded by persistent principal erosion.</w:t>
            </w:r>
          </w:p>
        </w:tc>
      </w:tr>
      <w:tr>
        <w:trPr>
          <w:cantSplit/>
        </w:trPr>
        <w:tc>
          <w:tcPr>
            <w:tcW w:type="dxa" w:w="1650"/>
            <w:tcMar>
              <w:top w:w="80" w:type="dxa"/>
              <w:start w:w="120" w:type="dxa"/>
              <w:bottom w:w="80" w:type="dxa"/>
              <w:end w:w="120" w:type="dxa"/>
            </w:tcMar>
            <w:vAlign w:val="center"/>
          </w:tcPr>
          <w:p>
            <w:pPr>
              <w:spacing w:after="0" w:line="240" w:lineRule="auto"/>
            </w:pPr>
            <w:r>
              <w:rPr>
                <w:rFonts w:ascii="Calibri" w:hAnsi="Calibri"/>
                <w:sz w:val="16"/>
              </w:rPr>
              <w:t>Data confidence</w:t>
            </w:r>
          </w:p>
        </w:tc>
        <w:tc>
          <w:tcPr>
            <w:tcW w:type="dxa" w:w="3900"/>
            <w:tcMar>
              <w:top w:w="80" w:type="dxa"/>
              <w:start w:w="120" w:type="dxa"/>
              <w:bottom w:w="80" w:type="dxa"/>
              <w:end w:w="120" w:type="dxa"/>
            </w:tcMar>
            <w:vAlign w:val="center"/>
          </w:tcPr>
          <w:p>
            <w:pPr>
              <w:spacing w:after="0" w:line="240" w:lineRule="auto"/>
            </w:pPr>
            <w:r>
              <w:rPr>
                <w:rFonts w:ascii="Calibri" w:hAnsi="Calibri"/>
                <w:sz w:val="16"/>
              </w:rPr>
              <w:t>Eligible observations present / required observations, adjusted for source and method quality.</w:t>
            </w:r>
          </w:p>
        </w:tc>
        <w:tc>
          <w:tcPr>
            <w:tcW w:type="dxa" w:w="3810"/>
            <w:tcMar>
              <w:top w:w="80" w:type="dxa"/>
              <w:start w:w="120" w:type="dxa"/>
              <w:bottom w:w="80" w:type="dxa"/>
              <w:end w:w="120" w:type="dxa"/>
            </w:tcMar>
            <w:vAlign w:val="center"/>
          </w:tcPr>
          <w:p>
            <w:pPr>
              <w:spacing w:after="0" w:line="240" w:lineRule="auto"/>
            </w:pPr>
            <w:r>
              <w:rPr>
                <w:rFonts w:ascii="Calibri" w:hAnsi="Calibri"/>
                <w:sz w:val="16"/>
              </w:rPr>
              <w:t>Prevents incomplete positions from receiving artificially favorable composite results.</w:t>
            </w:r>
          </w:p>
        </w:tc>
      </w:tr>
    </w:tbl>
    <w:p>
      <w:pPr>
        <w:spacing w:after="0"/>
      </w:pPr>
    </w:p>
    <w:p>
      <w:pPr>
        <w:pStyle w:val="Heading2"/>
      </w:pPr>
      <w:r>
        <w:t>6.3 Recommended decision model</w:t>
      </w:r>
    </w:p>
    <w:p>
      <w:r>
        <w:rPr>
          <w:rFonts w:ascii="Calibri" w:hAnsi="Calibri"/>
          <w:sz w:val="22"/>
        </w:rPr>
        <w:t>Do not replace the current Average all scores with another unqualified arithmetic average. The application should present a Position Decision Evidence Profile with separate dimensions:</w:t>
      </w:r>
    </w:p>
    <w:p>
      <w:pPr>
        <w:pStyle w:val="ListBullet"/>
      </w:pPr>
      <w:r>
        <w:rPr>
          <w:rFonts w:ascii="Calibri" w:hAnsi="Calibri"/>
          <w:sz w:val="22"/>
        </w:rPr>
        <w:t>Income Reliability: Plan adherence, under/over variance, misses, distribution stability and confidence.</w:t>
      </w:r>
    </w:p>
    <w:p>
      <w:pPr>
        <w:pStyle w:val="ListBullet"/>
      </w:pPr>
      <w:r>
        <w:rPr>
          <w:rFonts w:ascii="Calibri" w:hAnsi="Calibri"/>
          <w:sz w:val="22"/>
        </w:rPr>
        <w:t>Downside Resilience: Bear relative return, downside capture, maximum drawdown and distribution cushion.</w:t>
      </w:r>
    </w:p>
    <w:p>
      <w:pPr>
        <w:pStyle w:val="ListBullet"/>
      </w:pPr>
      <w:r>
        <w:rPr>
          <w:rFonts w:ascii="Calibri" w:hAnsi="Calibri"/>
          <w:sz w:val="22"/>
        </w:rPr>
        <w:t>Recovery/Upside: Bull or recovery relative return, upside capture, recovery ratio and recovery time.</w:t>
      </w:r>
    </w:p>
    <w:p>
      <w:pPr>
        <w:pStyle w:val="ListBullet"/>
      </w:pPr>
      <w:r>
        <w:rPr>
          <w:rFonts w:ascii="Calibri" w:hAnsi="Calibri"/>
          <w:sz w:val="22"/>
        </w:rPr>
        <w:t>NAV Persistence: Price return, original-cost P&amp;L, total return and evidence of distribution-supported NAV erosion.</w:t>
      </w:r>
    </w:p>
    <w:p>
      <w:pPr>
        <w:pStyle w:val="ListBullet"/>
      </w:pPr>
      <w:r>
        <w:rPr>
          <w:rFonts w:ascii="Calibri" w:hAnsi="Calibri"/>
          <w:sz w:val="22"/>
        </w:rPr>
        <w:t>Diversification/Concentration: Underlying, provider, sector/theme, leverage and cross-position exposure concentration.</w:t>
      </w:r>
    </w:p>
    <w:p>
      <w:pPr>
        <w:pStyle w:val="ListBullet"/>
      </w:pPr>
      <w:r>
        <w:rPr>
          <w:rFonts w:ascii="Calibri" w:hAnsi="Calibri"/>
          <w:sz w:val="22"/>
        </w:rPr>
        <w:t>Data Confidence: Required data coverage, source provenance, freshness and calculation version.</w:t>
      </w:r>
    </w:p>
    <w:p>
      <w:r>
        <w:rPr>
          <w:rFonts w:ascii="Calibri" w:hAnsi="Calibri"/>
          <w:sz w:val="22"/>
        </w:rPr>
        <w:t>If a future composite is desired, each dimension must first be normalized to a common 0-100 scale. Missing components must lower confidence rather than cause the remaining components to be reweighted automatically. Weights must be versioned and may vary by portfolio role. The component values, weights, ruleset version and final result must remain visible and auditable.</w:t>
      </w:r>
    </w:p>
    <w:p>
      <w:pPr>
        <w:pStyle w:val="Heading2"/>
      </w:pPr>
      <w:r>
        <w:t>6.4 How the evidence should influence tiers and actions</w:t>
      </w:r>
    </w:p>
    <w:tbl>
      <w:tblPr>
        <w:tblStyle w:val="TableGrid"/>
        <w:tblW w:type="dxa" w:w="9360"/>
        <w:jc w:val="left"/>
        <w:tblLayout w:type="fixed"/>
        <w:tblLook w:firstColumn="1" w:firstRow="1" w:lastColumn="0" w:lastRow="0" w:noHBand="0" w:noVBand="1" w:val="04A0"/>
        <w:tblInd w:w="120" w:type="dxa"/>
      </w:tblPr>
      <w:tblGrid>
        <w:gridCol w:w="1800"/>
        <w:gridCol w:w="4040"/>
        <w:gridCol w:w="3520"/>
      </w:tblGrid>
      <w:tr>
        <w:trPr>
          <w:tblHeader w:val="true"/>
          <w:cantSplit/>
        </w:trPr>
        <w:tc>
          <w:tcPr>
            <w:tcW w:type="dxa" w:w="1800"/>
            <w:shd w:fill="F2F4F7"/>
            <w:tcMar>
              <w:top w:w="80" w:type="dxa"/>
              <w:start w:w="120" w:type="dxa"/>
              <w:bottom w:w="80" w:type="dxa"/>
              <w:end w:w="120" w:type="dxa"/>
            </w:tcMar>
            <w:vAlign w:val="center"/>
          </w:tcPr>
          <w:p>
            <w:pPr>
              <w:spacing w:after="0"/>
            </w:pPr>
            <w:r>
              <w:rPr>
                <w:rFonts w:ascii="Calibri" w:hAnsi="Calibri"/>
                <w:b/>
                <w:color w:val="0B2545"/>
                <w:sz w:val="16"/>
              </w:rPr>
              <w:t>Decision</w:t>
            </w:r>
          </w:p>
        </w:tc>
        <w:tc>
          <w:tcPr>
            <w:tcW w:type="dxa" w:w="4040"/>
            <w:shd w:fill="F2F4F7"/>
            <w:tcMar>
              <w:top w:w="80" w:type="dxa"/>
              <w:start w:w="120" w:type="dxa"/>
              <w:bottom w:w="80" w:type="dxa"/>
              <w:end w:w="120" w:type="dxa"/>
            </w:tcMar>
            <w:vAlign w:val="center"/>
          </w:tcPr>
          <w:p>
            <w:pPr>
              <w:spacing w:after="0"/>
            </w:pPr>
            <w:r>
              <w:rPr>
                <w:rFonts w:ascii="Calibri" w:hAnsi="Calibri"/>
                <w:b/>
                <w:color w:val="0B2545"/>
                <w:sz w:val="16"/>
              </w:rPr>
              <w:t>Evidence used</w:t>
            </w:r>
          </w:p>
        </w:tc>
        <w:tc>
          <w:tcPr>
            <w:tcW w:type="dxa" w:w="3520"/>
            <w:shd w:fill="F2F4F7"/>
            <w:tcMar>
              <w:top w:w="80" w:type="dxa"/>
              <w:start w:w="120" w:type="dxa"/>
              <w:bottom w:w="80" w:type="dxa"/>
              <w:end w:w="120" w:type="dxa"/>
            </w:tcMar>
            <w:vAlign w:val="center"/>
          </w:tcPr>
          <w:p>
            <w:pPr>
              <w:spacing w:after="0"/>
            </w:pPr>
            <w:r>
              <w:rPr>
                <w:rFonts w:ascii="Calibri" w:hAnsi="Calibri"/>
                <w:b/>
                <w:color w:val="0B2545"/>
                <w:sz w:val="16"/>
              </w:rPr>
              <w:t>System behavior</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sz w:val="16"/>
              </w:rPr>
              <w:t>Retain/expand a defensive income position</w:t>
            </w:r>
          </w:p>
        </w:tc>
        <w:tc>
          <w:tcPr>
            <w:tcW w:type="dxa" w:w="4040"/>
            <w:tcMar>
              <w:top w:w="80" w:type="dxa"/>
              <w:start w:w="120" w:type="dxa"/>
              <w:bottom w:w="80" w:type="dxa"/>
              <w:end w:w="120" w:type="dxa"/>
            </w:tcMar>
            <w:vAlign w:val="center"/>
          </w:tcPr>
          <w:p>
            <w:pPr>
              <w:spacing w:after="0" w:line="240" w:lineRule="auto"/>
            </w:pPr>
            <w:r>
              <w:rPr>
                <w:rFonts w:ascii="Calibri" w:hAnsi="Calibri"/>
                <w:sz w:val="16"/>
              </w:rPr>
              <w:t>Reliable distributions, favorable bear relative return, acceptable NAV persistence, appropriate concentration.</w:t>
            </w:r>
          </w:p>
        </w:tc>
        <w:tc>
          <w:tcPr>
            <w:tcW w:type="dxa" w:w="3520"/>
            <w:tcMar>
              <w:top w:w="80" w:type="dxa"/>
              <w:start w:w="120" w:type="dxa"/>
              <w:bottom w:w="80" w:type="dxa"/>
              <w:end w:w="120" w:type="dxa"/>
            </w:tcMar>
            <w:vAlign w:val="center"/>
          </w:tcPr>
          <w:p>
            <w:pPr>
              <w:spacing w:after="0" w:line="240" w:lineRule="auto"/>
            </w:pPr>
            <w:r>
              <w:rPr>
                <w:rFonts w:ascii="Calibri" w:hAnsi="Calibri"/>
                <w:sz w:val="16"/>
              </w:rPr>
              <w:t>Support Foundation/Core recommendation; show why, evidence period and confidence.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sz w:val="16"/>
              </w:rPr>
              <w:t>Limit a high-upside position</w:t>
            </w:r>
          </w:p>
        </w:tc>
        <w:tc>
          <w:tcPr>
            <w:tcW w:type="dxa" w:w="4040"/>
            <w:tcMar>
              <w:top w:w="80" w:type="dxa"/>
              <w:start w:w="120" w:type="dxa"/>
              <w:bottom w:w="80" w:type="dxa"/>
              <w:end w:w="120" w:type="dxa"/>
            </w:tcMar>
            <w:vAlign w:val="center"/>
          </w:tcPr>
          <w:p>
            <w:pPr>
              <w:spacing w:after="0" w:line="240" w:lineRule="auto"/>
            </w:pPr>
            <w:r>
              <w:rPr>
                <w:rFonts w:ascii="Calibri" w:hAnsi="Calibri"/>
                <w:sz w:val="16"/>
              </w:rPr>
              <w:t>Strong bull capture combined with excessive drawdown, poor bear relative return or concentrated underlying.</w:t>
            </w:r>
          </w:p>
        </w:tc>
        <w:tc>
          <w:tcPr>
            <w:tcW w:type="dxa" w:w="3520"/>
            <w:tcMar>
              <w:top w:w="80" w:type="dxa"/>
              <w:start w:w="120" w:type="dxa"/>
              <w:bottom w:w="80" w:type="dxa"/>
              <w:end w:w="120" w:type="dxa"/>
            </w:tcMar>
            <w:vAlign w:val="center"/>
          </w:tcPr>
          <w:p>
            <w:pPr>
              <w:spacing w:after="0" w:line="240" w:lineRule="auto"/>
            </w:pPr>
            <w:r>
              <w:rPr>
                <w:rFonts w:ascii="Calibri" w:hAnsi="Calibri"/>
                <w:sz w:val="16"/>
              </w:rPr>
              <w:t>Support Risk On classification or allocation cap; do not reject solely because bear return is weak.</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sz w:val="16"/>
              </w:rPr>
              <w:t>Review/replace an income position</w:t>
            </w:r>
          </w:p>
        </w:tc>
        <w:tc>
          <w:tcPr>
            <w:tcW w:type="dxa" w:w="4040"/>
            <w:tcMar>
              <w:top w:w="80" w:type="dxa"/>
              <w:start w:w="120" w:type="dxa"/>
              <w:bottom w:w="80" w:type="dxa"/>
              <w:end w:w="120" w:type="dxa"/>
            </w:tcMar>
            <w:vAlign w:val="center"/>
          </w:tcPr>
          <w:p>
            <w:pPr>
              <w:spacing w:after="0" w:line="240" w:lineRule="auto"/>
            </w:pPr>
            <w:r>
              <w:rPr>
                <w:rFonts w:ascii="Calibri" w:hAnsi="Calibri"/>
                <w:sz w:val="16"/>
              </w:rPr>
              <w:t>Repeated Plan misses, weak distribution cushion, worsening NAV persistence and poor recovery.</w:t>
            </w:r>
          </w:p>
        </w:tc>
        <w:tc>
          <w:tcPr>
            <w:tcW w:type="dxa" w:w="3520"/>
            <w:tcMar>
              <w:top w:w="80" w:type="dxa"/>
              <w:start w:w="120" w:type="dxa"/>
              <w:bottom w:w="80" w:type="dxa"/>
              <w:end w:w="120" w:type="dxa"/>
            </w:tcMar>
            <w:vAlign w:val="center"/>
          </w:tcPr>
          <w:p>
            <w:pPr>
              <w:spacing w:after="0" w:line="240" w:lineRule="auto"/>
            </w:pPr>
            <w:r>
              <w:rPr>
                <w:rFonts w:ascii="Calibri" w:hAnsi="Calibri"/>
                <w:sz w:val="16"/>
              </w:rPr>
              <w:t>Trigger Calculator and Scorecard review; never auto-sell or auto-change Plan.</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sz w:val="16"/>
              </w:rPr>
              <w:t>Choose between similar yields</w:t>
            </w:r>
          </w:p>
        </w:tc>
        <w:tc>
          <w:tcPr>
            <w:tcW w:type="dxa" w:w="4040"/>
            <w:tcMar>
              <w:top w:w="80" w:type="dxa"/>
              <w:start w:w="120" w:type="dxa"/>
              <w:bottom w:w="80" w:type="dxa"/>
              <w:end w:w="120" w:type="dxa"/>
            </w:tcMar>
            <w:vAlign w:val="center"/>
          </w:tcPr>
          <w:p>
            <w:pPr>
              <w:spacing w:after="0" w:line="240" w:lineRule="auto"/>
            </w:pPr>
            <w:r>
              <w:rPr>
                <w:rFonts w:ascii="Calibri" w:hAnsi="Calibri"/>
                <w:sz w:val="16"/>
              </w:rPr>
              <w:t>Compare downside capture, recovery speed, income reliability and concentration after yield is held approximately equal.</w:t>
            </w:r>
          </w:p>
        </w:tc>
        <w:tc>
          <w:tcPr>
            <w:tcW w:type="dxa" w:w="3520"/>
            <w:tcMar>
              <w:top w:w="80" w:type="dxa"/>
              <w:start w:w="120" w:type="dxa"/>
              <w:bottom w:w="80" w:type="dxa"/>
              <w:end w:w="120" w:type="dxa"/>
            </w:tcMar>
            <w:vAlign w:val="center"/>
          </w:tcPr>
          <w:p>
            <w:pPr>
              <w:spacing w:after="0" w:line="240" w:lineRule="auto"/>
            </w:pPr>
            <w:r>
              <w:rPr>
                <w:rFonts w:ascii="Calibri" w:hAnsi="Calibri"/>
                <w:sz w:val="16"/>
              </w:rPr>
              <w:t>Rank by evidence dimensions rather than the raw combined average.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sz w:val="16"/>
              </w:rPr>
              <w:t>Backtesting analysis</w:t>
            </w:r>
          </w:p>
        </w:tc>
        <w:tc>
          <w:tcPr>
            <w:tcW w:type="dxa" w:w="4040"/>
            <w:tcMar>
              <w:top w:w="80" w:type="dxa"/>
              <w:start w:w="120" w:type="dxa"/>
              <w:bottom w:w="80" w:type="dxa"/>
              <w:end w:w="120" w:type="dxa"/>
            </w:tcMar>
            <w:vAlign w:val="center"/>
          </w:tcPr>
          <w:p>
            <w:pPr>
              <w:spacing w:after="0" w:line="240" w:lineRule="auto"/>
            </w:pPr>
            <w:r>
              <w:rPr>
                <w:rFonts w:ascii="Calibri" w:hAnsi="Calibri"/>
                <w:sz w:val="16"/>
              </w:rPr>
              <w:t>Compare results across approved bull, bear, recovery and stress periods and against matched benchmarks.</w:t>
            </w:r>
          </w:p>
        </w:tc>
        <w:tc>
          <w:tcPr>
            <w:tcW w:type="dxa" w:w="3520"/>
            <w:tcMar>
              <w:top w:w="80" w:type="dxa"/>
              <w:start w:w="120" w:type="dxa"/>
              <w:bottom w:w="80" w:type="dxa"/>
              <w:end w:w="120" w:type="dxa"/>
            </w:tcMar>
            <w:vAlign w:val="center"/>
          </w:tcPr>
          <w:p>
            <w:pPr>
              <w:spacing w:after="0" w:line="240" w:lineRule="auto"/>
            </w:pPr>
            <w:r>
              <w:rPr>
                <w:rFonts w:ascii="Calibri" w:hAnsi="Calibri"/>
                <w:sz w:val="16"/>
              </w:rPr>
              <w:t>Expose patterns and tradeoffs; retain each period rather than overwriting one current bear/bull result.</w:t>
            </w:r>
          </w:p>
        </w:tc>
      </w:tr>
    </w:tbl>
    <w:p>
      <w:pPr>
        <w:spacing w:after="0"/>
      </w:pPr>
    </w:p>
    <w:p>
      <w:pPr>
        <w:pStyle w:val="Heading1"/>
      </w:pPr>
      <w:r>
        <w:t>7. Target Domain Model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tcMar>
              <w:top w:w="80" w:type="dxa"/>
              <w:start w:w="120" w:type="dxa"/>
              <w:bottom w:w="80" w:type="dxa"/>
              <w:end w:w="120" w:type="dxa"/>
            </w:tcMar>
            <w:vAlign w:val="center"/>
          </w:tcPr>
          <w:p>
            <w:pPr>
              <w:spacing w:after="0"/>
            </w:pPr>
            <w:r>
              <w:rPr>
                <w:rFonts w:ascii="Calibri" w:hAnsi="Calibri"/>
                <w:b/>
                <w:color w:val="0B2545"/>
                <w:sz w:val="17"/>
              </w:rPr>
              <w:t>Entity/view</w:t>
            </w:r>
          </w:p>
        </w:tc>
        <w:tc>
          <w:tcPr>
            <w:tcW w:type="dxa" w:w="6960"/>
            <w:shd w:fill="F2F4F7"/>
            <w:tcMar>
              <w:top w:w="80" w:type="dxa"/>
              <w:start w:w="120" w:type="dxa"/>
              <w:bottom w:w="80" w:type="dxa"/>
              <w:end w:w="120" w:type="dxa"/>
            </w:tcMar>
            <w:vAlign w:val="center"/>
          </w:tcPr>
          <w:p>
            <w:pPr>
              <w:spacing w:after="0"/>
            </w:pPr>
            <w:r>
              <w:rPr>
                <w:rFonts w:ascii="Calibri" w:hAnsi="Calibri"/>
                <w:b/>
                <w:color w:val="0B2545"/>
                <w:sz w:val="17"/>
              </w:rPr>
              <w:t>Required responsibility</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Position</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Immutable position_id; current symbol; name; instrument/security type; provider relationship; active state; notes. Symbol is not the primary key.</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PositionIdentifierHistory</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Effective-dated ticker and optional external identifiers so symbol changes do not break historical lots, plans or activity.</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PositionClassificationHistory</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Effective-dated live/owner tier, calculated tier suggestion, override reason, ruleset version and approval audit.</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PositionExposure</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One-to-many underlying/index/asset/sector/theme/provider exposures with relationship type, optional weight, source and effective dates.</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PaymentFrequencyHistory</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Weekly/Monthly/Quarterly/None with effective dates; normalized periods derived as 52/12/4.</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ExpectedPaymentPattern</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Typical declaration/ex-date/payment weekdays, effective dates, source and confidence. These are patterns, not actual events.</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PositionTaxProfile</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Expected planning treatment and cash-equivalent/K-1 or other flags. Not a substitute for actual annual tax character.</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PositionTaxCharacterization</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position_id, account/tax-lot applicability, tax year, Estimate/Actual, ROC amount/percentage and other character components, source, verification and revision history. Characterization does not rewrite original economic cost.</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BacktestPeriod</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period_id; owner-approved name; Bull/Bear/Recovery/Stress; exact start/end dates; benchmark; selection reason; status and version.</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PositionBacktestResult</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Position, period, price return, distribution return/cushion, total return, relative return, capture, max drawdown, recovery metrics, source/method, calculated_at and completeness.</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PositionAccountSummary view</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Derived quantity, original economic cost, separately maintained tax-adjusted basis and market value by Position and Account from lots, tax records and prices.</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PositionLifetimePerformance view</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Original acquisition cost, open unrealized P&amp;L, realized sale P&amp;L, total distributions received, ROC component when known, option premium and other classified realized return by Position.</w:t>
            </w:r>
          </w:p>
        </w:tc>
      </w:tr>
      <w:tr>
        <w:trPr>
          <w:cantSplit/>
        </w:trPr>
        <w:tc>
          <w:tcPr>
            <w:tcW w:type="dxa" w:w="2400"/>
            <w:tcMar>
              <w:top w:w="80" w:type="dxa"/>
              <w:start w:w="120" w:type="dxa"/>
              <w:bottom w:w="80" w:type="dxa"/>
              <w:end w:w="120" w:type="dxa"/>
            </w:tcMar>
            <w:vAlign w:val="center"/>
          </w:tcPr>
          <w:p>
            <w:pPr>
              <w:spacing w:after="0" w:line="240" w:lineRule="auto"/>
            </w:pPr>
            <w:r>
              <w:rPr>
                <w:rFonts w:ascii="Calibri" w:hAnsi="Calibri"/>
                <w:sz w:val="17"/>
              </w:rPr>
              <w:t>PositionDecisionProfile view</w:t>
            </w:r>
          </w:p>
        </w:tc>
        <w:tc>
          <w:tcPr>
            <w:tcW w:type="dxa" w:w="6960"/>
            <w:tcMar>
              <w:top w:w="80" w:type="dxa"/>
              <w:start w:w="120" w:type="dxa"/>
              <w:bottom w:w="80" w:type="dxa"/>
              <w:end w:w="120" w:type="dxa"/>
            </w:tcMar>
            <w:vAlign w:val="center"/>
          </w:tcPr>
          <w:p>
            <w:pPr>
              <w:spacing w:after="0" w:line="240" w:lineRule="auto"/>
            </w:pPr>
            <w:r>
              <w:rPr>
                <w:rFonts w:ascii="Calibri" w:hAnsi="Calibri"/>
                <w:sz w:val="17"/>
              </w:rPr>
              <w:t>Joined yields, Plan evidence, realized income, P&amp;L, exposure, backtesting dimensions and data confidence; no second master.</w:t>
            </w:r>
          </w:p>
        </w:tc>
      </w:tr>
    </w:tbl>
    <w:p>
      <w:pPr>
        <w:spacing w:after="0"/>
      </w:pPr>
    </w:p>
    <w:p>
      <w:pPr>
        <w:pStyle w:val="Heading2"/>
      </w:pPr>
      <w:r>
        <w:t>7.1 Domain boundaries</w:t>
      </w:r>
    </w:p>
    <w:tbl>
      <w:tblPr>
        <w:tblStyle w:val="TableGrid"/>
        <w:tblW w:type="dxa" w:w="9360"/>
        <w:jc w:val="left"/>
        <w:tblLayout w:type="fixed"/>
        <w:tblLook w:firstColumn="1" w:firstRow="1" w:lastColumn="0" w:lastRow="0" w:noHBand="0" w:noVBand="1" w:val="04A0"/>
        <w:tblInd w:w="120" w:type="dxa"/>
      </w:tblPr>
      <w:tblGrid>
        <w:gridCol w:w="3500"/>
        <w:gridCol w:w="5860"/>
      </w:tblGrid>
      <w:tr>
        <w:trPr>
          <w:tblHeader w:val="true"/>
          <w:cantSplit/>
        </w:trPr>
        <w:tc>
          <w:tcPr>
            <w:tcW w:type="dxa" w:w="3500"/>
            <w:shd w:fill="F2F4F7"/>
            <w:tcMar>
              <w:top w:w="80" w:type="dxa"/>
              <w:start w:w="120" w:type="dxa"/>
              <w:bottom w:w="80" w:type="dxa"/>
              <w:end w:w="120" w:type="dxa"/>
            </w:tcMar>
            <w:vAlign w:val="center"/>
          </w:tcPr>
          <w:p>
            <w:pPr>
              <w:spacing w:after="0"/>
            </w:pPr>
            <w:r>
              <w:rPr>
                <w:rFonts w:ascii="Calibri" w:hAnsi="Calibri"/>
                <w:b/>
                <w:color w:val="0B2545"/>
                <w:sz w:val="18"/>
              </w:rPr>
              <w:t>Fact</w:t>
            </w:r>
          </w:p>
        </w:tc>
        <w:tc>
          <w:tcPr>
            <w:tcW w:type="dxa" w:w="5860"/>
            <w:shd w:fill="F2F4F7"/>
            <w:tcMar>
              <w:top w:w="80" w:type="dxa"/>
              <w:start w:w="120" w:type="dxa"/>
              <w:bottom w:w="80" w:type="dxa"/>
              <w:end w:w="120" w:type="dxa"/>
            </w:tcMar>
            <w:vAlign w:val="center"/>
          </w:tcPr>
          <w:p>
            <w:pPr>
              <w:spacing w:after="0"/>
            </w:pPr>
            <w:r>
              <w:rPr>
                <w:rFonts w:ascii="Calibri" w:hAnsi="Calibri"/>
                <w:b/>
                <w:color w:val="0B2545"/>
                <w:sz w:val="18"/>
              </w:rPr>
              <w:t>Authoritative domain</w:t>
            </w:r>
          </w:p>
        </w:tc>
      </w:tr>
      <w:tr>
        <w:trPr>
          <w:cantSplit/>
        </w:trPr>
        <w:tc>
          <w:tcPr>
            <w:tcW w:type="dxa" w:w="3500"/>
            <w:tcMar>
              <w:top w:w="80" w:type="dxa"/>
              <w:start w:w="120" w:type="dxa"/>
              <w:bottom w:w="80" w:type="dxa"/>
              <w:end w:w="120" w:type="dxa"/>
            </w:tcMar>
            <w:vAlign w:val="center"/>
          </w:tcPr>
          <w:p>
            <w:pPr>
              <w:spacing w:after="0" w:line="240" w:lineRule="auto"/>
            </w:pPr>
            <w:r>
              <w:rPr>
                <w:rFonts w:ascii="Calibri" w:hAnsi="Calibri"/>
                <w:sz w:val="18"/>
              </w:rPr>
              <w:t>Current/open ownership, quantity and original acquisition cost</w:t>
            </w:r>
          </w:p>
        </w:tc>
        <w:tc>
          <w:tcPr>
            <w:tcW w:type="dxa" w:w="5860"/>
            <w:tcMar>
              <w:top w:w="80" w:type="dxa"/>
              <w:start w:w="120" w:type="dxa"/>
              <w:bottom w:w="80" w:type="dxa"/>
              <w:end w:w="120" w:type="dxa"/>
            </w:tcMar>
            <w:vAlign w:val="center"/>
          </w:tcPr>
          <w:p>
            <w:pPr>
              <w:spacing w:after="0" w:line="240" w:lineRule="auto"/>
            </w:pPr>
            <w:r>
              <w:rPr>
                <w:rFonts w:ascii="Calibri" w:hAnsi="Calibri"/>
                <w:sz w:val="18"/>
              </w:rPr>
              <w:t>Lots</w:t>
            </w:r>
          </w:p>
        </w:tc>
      </w:tr>
      <w:tr>
        <w:trPr>
          <w:cantSplit/>
        </w:trPr>
        <w:tc>
          <w:tcPr>
            <w:tcW w:type="dxa" w:w="3500"/>
            <w:tcMar>
              <w:top w:w="80" w:type="dxa"/>
              <w:start w:w="120" w:type="dxa"/>
              <w:bottom w:w="80" w:type="dxa"/>
              <w:end w:w="120" w:type="dxa"/>
            </w:tcMar>
            <w:vAlign w:val="center"/>
          </w:tcPr>
          <w:p>
            <w:pPr>
              <w:spacing w:after="0" w:line="240" w:lineRule="auto"/>
            </w:pPr>
            <w:r>
              <w:rPr>
                <w:rFonts w:ascii="Calibri" w:hAnsi="Calibri"/>
                <w:sz w:val="18"/>
              </w:rPr>
              <w:t>ROC-adjusted basis for taxable account/tax lot</w:t>
            </w:r>
          </w:p>
        </w:tc>
        <w:tc>
          <w:tcPr>
            <w:tcW w:type="dxa" w:w="5860"/>
            <w:tcMar>
              <w:top w:w="80" w:type="dxa"/>
              <w:start w:w="120" w:type="dxa"/>
              <w:bottom w:w="80" w:type="dxa"/>
              <w:end w:w="120" w:type="dxa"/>
            </w:tcMar>
            <w:vAlign w:val="center"/>
          </w:tcPr>
          <w:p>
            <w:pPr>
              <w:spacing w:after="0" w:line="240" w:lineRule="auto"/>
            </w:pPr>
            <w:r>
              <w:rPr>
                <w:rFonts w:ascii="Calibri" w:hAnsi="Calibri"/>
                <w:sz w:val="18"/>
              </w:rPr>
              <w:t>Tax basis records</w:t>
            </w:r>
          </w:p>
        </w:tc>
      </w:tr>
      <w:tr>
        <w:trPr>
          <w:cantSplit/>
        </w:trPr>
        <w:tc>
          <w:tcPr>
            <w:tcW w:type="dxa" w:w="3500"/>
            <w:tcMar>
              <w:top w:w="80" w:type="dxa"/>
              <w:start w:w="120" w:type="dxa"/>
              <w:bottom w:w="80" w:type="dxa"/>
              <w:end w:w="120" w:type="dxa"/>
            </w:tcMar>
            <w:vAlign w:val="center"/>
          </w:tcPr>
          <w:p>
            <w:pPr>
              <w:spacing w:after="0" w:line="240" w:lineRule="auto"/>
            </w:pPr>
            <w:r>
              <w:rPr>
                <w:rFonts w:ascii="Calibri" w:hAnsi="Calibri"/>
                <w:sz w:val="18"/>
              </w:rPr>
              <w:t>Approved income Plan and historical Plan versions</w:t>
            </w:r>
          </w:p>
        </w:tc>
        <w:tc>
          <w:tcPr>
            <w:tcW w:type="dxa" w:w="5860"/>
            <w:tcMar>
              <w:top w:w="80" w:type="dxa"/>
              <w:start w:w="120" w:type="dxa"/>
              <w:bottom w:w="80" w:type="dxa"/>
              <w:end w:w="120" w:type="dxa"/>
            </w:tcMar>
            <w:vAlign w:val="center"/>
          </w:tcPr>
          <w:p>
            <w:pPr>
              <w:spacing w:after="0" w:line="240" w:lineRule="auto"/>
            </w:pPr>
            <w:r>
              <w:rPr>
                <w:rFonts w:ascii="Calibri" w:hAnsi="Calibri"/>
                <w:sz w:val="18"/>
              </w:rPr>
              <w:t>PlanHistory</w:t>
            </w:r>
          </w:p>
        </w:tc>
      </w:tr>
      <w:tr>
        <w:trPr>
          <w:cantSplit/>
        </w:trPr>
        <w:tc>
          <w:tcPr>
            <w:tcW w:type="dxa" w:w="3500"/>
            <w:tcMar>
              <w:top w:w="80" w:type="dxa"/>
              <w:start w:w="120" w:type="dxa"/>
              <w:bottom w:w="80" w:type="dxa"/>
              <w:end w:w="120" w:type="dxa"/>
            </w:tcMar>
            <w:vAlign w:val="center"/>
          </w:tcPr>
          <w:p>
            <w:pPr>
              <w:spacing w:after="0" w:line="240" w:lineRule="auto"/>
            </w:pPr>
            <w:r>
              <w:rPr>
                <w:rFonts w:ascii="Calibri" w:hAnsi="Calibri"/>
                <w:sz w:val="18"/>
              </w:rPr>
              <w:t>Issuer declaration amount and event dates</w:t>
            </w:r>
          </w:p>
        </w:tc>
        <w:tc>
          <w:tcPr>
            <w:tcW w:type="dxa" w:w="5860"/>
            <w:tcMar>
              <w:top w:w="80" w:type="dxa"/>
              <w:start w:w="120" w:type="dxa"/>
              <w:bottom w:w="80" w:type="dxa"/>
              <w:end w:w="120" w:type="dxa"/>
            </w:tcMar>
            <w:vAlign w:val="center"/>
          </w:tcPr>
          <w:p>
            <w:pPr>
              <w:spacing w:after="0" w:line="240" w:lineRule="auto"/>
            </w:pPr>
            <w:r>
              <w:rPr>
                <w:rFonts w:ascii="Calibri" w:hAnsi="Calibri"/>
                <w:sz w:val="18"/>
              </w:rPr>
              <w:t>DividendDeclaration</w:t>
            </w:r>
          </w:p>
        </w:tc>
      </w:tr>
      <w:tr>
        <w:trPr>
          <w:cantSplit/>
        </w:trPr>
        <w:tc>
          <w:tcPr>
            <w:tcW w:type="dxa" w:w="3500"/>
            <w:tcMar>
              <w:top w:w="80" w:type="dxa"/>
              <w:start w:w="120" w:type="dxa"/>
              <w:bottom w:w="80" w:type="dxa"/>
              <w:end w:w="120" w:type="dxa"/>
            </w:tcMar>
            <w:vAlign w:val="center"/>
          </w:tcPr>
          <w:p>
            <w:pPr>
              <w:spacing w:after="0" w:line="240" w:lineRule="auto"/>
            </w:pPr>
            <w:r>
              <w:rPr>
                <w:rFonts w:ascii="Calibri" w:hAnsi="Calibri"/>
                <w:sz w:val="18"/>
              </w:rPr>
              <w:t>Expected Sat-Fri planning event</w:t>
            </w:r>
          </w:p>
        </w:tc>
        <w:tc>
          <w:tcPr>
            <w:tcW w:type="dxa" w:w="5860"/>
            <w:tcMar>
              <w:top w:w="80" w:type="dxa"/>
              <w:start w:w="120" w:type="dxa"/>
              <w:bottom w:w="80" w:type="dxa"/>
              <w:end w:w="120" w:type="dxa"/>
            </w:tcMar>
            <w:vAlign w:val="center"/>
          </w:tcPr>
          <w:p>
            <w:pPr>
              <w:spacing w:after="0" w:line="240" w:lineRule="auto"/>
            </w:pPr>
            <w:r>
              <w:rPr>
                <w:rFonts w:ascii="Calibri" w:hAnsi="Calibri"/>
                <w:sz w:val="18"/>
              </w:rPr>
              <w:t>PlannedPaymentEvent</w:t>
            </w:r>
          </w:p>
        </w:tc>
      </w:tr>
      <w:tr>
        <w:trPr>
          <w:cantSplit/>
        </w:trPr>
        <w:tc>
          <w:tcPr>
            <w:tcW w:type="dxa" w:w="3500"/>
            <w:tcMar>
              <w:top w:w="80" w:type="dxa"/>
              <w:start w:w="120" w:type="dxa"/>
              <w:bottom w:w="80" w:type="dxa"/>
              <w:end w:w="120" w:type="dxa"/>
            </w:tcMar>
            <w:vAlign w:val="center"/>
          </w:tcPr>
          <w:p>
            <w:pPr>
              <w:spacing w:after="0" w:line="240" w:lineRule="auto"/>
            </w:pPr>
            <w:r>
              <w:rPr>
                <w:rFonts w:ascii="Calibri" w:hAnsi="Calibri"/>
                <w:sz w:val="18"/>
              </w:rPr>
              <w:t>Broker-paid dividend cash and other realized activity</w:t>
            </w:r>
          </w:p>
        </w:tc>
        <w:tc>
          <w:tcPr>
            <w:tcW w:type="dxa" w:w="5860"/>
            <w:tcMar>
              <w:top w:w="80" w:type="dxa"/>
              <w:start w:w="120" w:type="dxa"/>
              <w:bottom w:w="80" w:type="dxa"/>
              <w:end w:w="120" w:type="dxa"/>
            </w:tcMar>
            <w:vAlign w:val="center"/>
          </w:tcPr>
          <w:p>
            <w:pPr>
              <w:spacing w:after="0" w:line="240" w:lineRule="auto"/>
            </w:pPr>
            <w:r>
              <w:rPr>
                <w:rFonts w:ascii="Calibri" w:hAnsi="Calibri"/>
                <w:sz w:val="18"/>
              </w:rPr>
              <w:t>Investment Activity Ledger</w:t>
            </w:r>
          </w:p>
        </w:tc>
      </w:tr>
      <w:tr>
        <w:trPr>
          <w:cantSplit/>
        </w:trPr>
        <w:tc>
          <w:tcPr>
            <w:tcW w:type="dxa" w:w="3500"/>
            <w:tcMar>
              <w:top w:w="80" w:type="dxa"/>
              <w:start w:w="120" w:type="dxa"/>
              <w:bottom w:w="80" w:type="dxa"/>
              <w:end w:w="120" w:type="dxa"/>
            </w:tcMar>
            <w:vAlign w:val="center"/>
          </w:tcPr>
          <w:p>
            <w:pPr>
              <w:spacing w:after="0" w:line="240" w:lineRule="auto"/>
            </w:pPr>
            <w:r>
              <w:rPr>
                <w:rFonts w:ascii="Calibri" w:hAnsi="Calibri"/>
                <w:sz w:val="18"/>
              </w:rPr>
              <w:t>Market price and timestamp</w:t>
            </w:r>
          </w:p>
        </w:tc>
        <w:tc>
          <w:tcPr>
            <w:tcW w:type="dxa" w:w="5860"/>
            <w:tcMar>
              <w:top w:w="80" w:type="dxa"/>
              <w:start w:w="120" w:type="dxa"/>
              <w:bottom w:w="80" w:type="dxa"/>
              <w:end w:w="120" w:type="dxa"/>
            </w:tcMar>
            <w:vAlign w:val="center"/>
          </w:tcPr>
          <w:p>
            <w:pPr>
              <w:spacing w:after="0" w:line="240" w:lineRule="auto"/>
            </w:pPr>
            <w:r>
              <w:rPr>
                <w:rFonts w:ascii="Calibri" w:hAnsi="Calibri"/>
                <w:sz w:val="18"/>
              </w:rPr>
              <w:t>PriceQuote</w:t>
            </w:r>
          </w:p>
        </w:tc>
      </w:tr>
      <w:tr>
        <w:trPr>
          <w:cantSplit/>
        </w:trPr>
        <w:tc>
          <w:tcPr>
            <w:tcW w:type="dxa" w:w="3500"/>
            <w:tcMar>
              <w:top w:w="80" w:type="dxa"/>
              <w:start w:w="120" w:type="dxa"/>
              <w:bottom w:w="80" w:type="dxa"/>
              <w:end w:w="120" w:type="dxa"/>
            </w:tcMar>
            <w:vAlign w:val="center"/>
          </w:tcPr>
          <w:p>
            <w:pPr>
              <w:spacing w:after="0" w:line="240" w:lineRule="auto"/>
            </w:pPr>
            <w:r>
              <w:rPr>
                <w:rFonts w:ascii="Calibri" w:hAnsi="Calibri"/>
                <w:sz w:val="18"/>
              </w:rPr>
              <w:t>Static identity, classifications, expected patterns and exposures</w:t>
            </w:r>
          </w:p>
        </w:tc>
        <w:tc>
          <w:tcPr>
            <w:tcW w:type="dxa" w:w="5860"/>
            <w:tcMar>
              <w:top w:w="80" w:type="dxa"/>
              <w:start w:w="120" w:type="dxa"/>
              <w:bottom w:w="80" w:type="dxa"/>
              <w:end w:w="120" w:type="dxa"/>
            </w:tcMar>
            <w:vAlign w:val="center"/>
          </w:tcPr>
          <w:p>
            <w:pPr>
              <w:spacing w:after="0" w:line="240" w:lineRule="auto"/>
            </w:pPr>
            <w:r>
              <w:rPr>
                <w:rFonts w:ascii="Calibri" w:hAnsi="Calibri"/>
                <w:sz w:val="18"/>
              </w:rPr>
              <w:t>Position domain</w:t>
            </w:r>
          </w:p>
        </w:tc>
      </w:tr>
      <w:tr>
        <w:trPr>
          <w:cantSplit/>
        </w:trPr>
        <w:tc>
          <w:tcPr>
            <w:tcW w:type="dxa" w:w="3500"/>
            <w:tcMar>
              <w:top w:w="80" w:type="dxa"/>
              <w:start w:w="120" w:type="dxa"/>
              <w:bottom w:w="80" w:type="dxa"/>
              <w:end w:w="120" w:type="dxa"/>
            </w:tcMar>
            <w:vAlign w:val="center"/>
          </w:tcPr>
          <w:p>
            <w:pPr>
              <w:spacing w:after="0" w:line="240" w:lineRule="auto"/>
            </w:pPr>
            <w:r>
              <w:rPr>
                <w:rFonts w:ascii="Calibri" w:hAnsi="Calibri"/>
                <w:sz w:val="18"/>
              </w:rPr>
              <w:t>Approved periods and calculated regime results</w:t>
            </w:r>
          </w:p>
        </w:tc>
        <w:tc>
          <w:tcPr>
            <w:tcW w:type="dxa" w:w="5860"/>
            <w:tcMar>
              <w:top w:w="80" w:type="dxa"/>
              <w:start w:w="120" w:type="dxa"/>
              <w:bottom w:w="80" w:type="dxa"/>
              <w:end w:w="120" w:type="dxa"/>
            </w:tcMar>
            <w:vAlign w:val="center"/>
          </w:tcPr>
          <w:p>
            <w:pPr>
              <w:spacing w:after="0" w:line="240" w:lineRule="auto"/>
            </w:pPr>
            <w:r>
              <w:rPr>
                <w:rFonts w:ascii="Calibri" w:hAnsi="Calibri"/>
                <w:sz w:val="18"/>
              </w:rPr>
              <w:t>Backtesting domain</w:t>
            </w:r>
          </w:p>
        </w:tc>
      </w:tr>
    </w:tbl>
    <w:p>
      <w:pPr>
        <w:spacing w:after="0"/>
      </w:pPr>
    </w:p>
    <w:p>
      <w:pPr>
        <w:pStyle w:val="Heading1"/>
      </w:pPr>
      <w:r>
        <w:t>8. Complete Target Requirements</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cantSplit/>
        </w:trPr>
        <w:tc>
          <w:tcPr>
            <w:tcW w:type="dxa" w:w="1300"/>
            <w:shd w:fill="F2F4F7"/>
            <w:tcMar>
              <w:top w:w="80" w:type="dxa"/>
              <w:start w:w="120" w:type="dxa"/>
              <w:bottom w:w="80" w:type="dxa"/>
              <w:end w:w="120" w:type="dxa"/>
            </w:tcMar>
            <w:vAlign w:val="center"/>
          </w:tcPr>
          <w:p>
            <w:pPr>
              <w:spacing w:after="0"/>
            </w:pPr>
            <w:r>
              <w:rPr>
                <w:rFonts w:ascii="Calibri" w:hAnsi="Calibri"/>
                <w:b/>
                <w:color w:val="0B2545"/>
                <w:sz w:val="17"/>
              </w:rPr>
              <w:t>ID</w:t>
            </w:r>
          </w:p>
        </w:tc>
        <w:tc>
          <w:tcPr>
            <w:tcW w:type="dxa" w:w="8060"/>
            <w:shd w:fill="F2F4F7"/>
            <w:tcMar>
              <w:top w:w="80" w:type="dxa"/>
              <w:start w:w="120" w:type="dxa"/>
              <w:bottom w:w="80" w:type="dxa"/>
              <w:end w:w="120" w:type="dxa"/>
            </w:tcMar>
            <w:vAlign w:val="center"/>
          </w:tcPr>
          <w:p>
            <w:pPr>
              <w:spacing w:after="0"/>
            </w:pPr>
            <w:r>
              <w:rPr>
                <w:rFonts w:ascii="Calibri" w:hAnsi="Calibri"/>
                <w:b/>
                <w:color w:val="0B2545"/>
                <w:sz w:val="17"/>
              </w:rPr>
              <w:t>Requirement</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TR-PD-01</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Use immutable position_id as the primary key. Symbol must be mutable/effective-dated.</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TR-PD-02</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Provide one consolidated Position Details view per selected position across every account, including closed-position historical access when requested.</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TR-PD-03</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Do not duplicate Position attributes on Lot rows; join them for display and filtering.</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TR-PD-04</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Preserve Foundation/Core/Risk On values as imported classification history. Retain Risk On as the canonical label.</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TR-PD-05</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Support calculated tier suggestions and owner overrides with reason, approval, effective dates and ruleset version.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TR-PD-06</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Maintain provider as a normalized entity/relationship while preserving original imported text.</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TR-PD-07</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Support multiple typed exposures per position rather than one overloaded Underlying or Sector string.</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TR-PD-08</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Maintain effective-dated payment frequency; derive normalized periods as 52/12/4.</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TR-PD-09</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Keep expected weekday patterns separate from actual declaration, ex-dividend and payment dates.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TR-PD-10</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Store expected tax planning profile separately from tax-year/distribution actual character.</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TR-PD-11</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Store ROC characterization by tax year and Estimate/Actual status with source and immutable revisions; do not add one schema column per year.</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TR-PD-12</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Calculate total and account-specific quantities from open lots and generic Account identity.</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TR-PD-13</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Calculate weighted average original unit cost from lots. Tax-adjusted cost is separate and restricted to applicable tax views.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TR-PD-14</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Calculate market value from quantity and a PriceQuote carrying source, as-of timestamp and stale/error state.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TR-PD-15</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Provide stable full-portfolio allocation using an explicitly defined portfolio scope. If filters are applied, label visible-subset percentages separately.</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TR-PD-16</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Obtain Plan-based and most-current forward yield from PlanHistory, eligible declaration data, periods and PriceQuote; never store them as Position facts.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TR-PD-17</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Calculate unrealized P&amp;L and YOC using original economic cost and disclose current-open-lot/date/account scope.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TR-PD-18</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Never import the current Car Value column as authoritative. Recalculate all account market values.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TR-PD-19</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Preserve the current Average all scores only as a labeled legacy metric with component count and completeness.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TR-PD-20</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Permit owner-created BacktestPeriods for bull, bear, recovery and stress analysis with exact dates, benchmark and selection reason.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TR-PD-21</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For every PositionBacktestResult, retain price return, total return method, source, calculation version, timestamp and data completeness.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TR-PD-22</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Calculate benchmark-relative return and applicable upside/downside capture; guard invalid denominator/sign cases.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TR-PD-23</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Support maximum drawdown, recovery ratio/time and period-specific income reliability when source data is available.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TR-PD-24</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Display price/NAV behavior separately from distribution contribution and total economic return.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TR-PD-25</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Never automatically change Plan, classification, target allocation or execute a trade from a score. Generate review evidence and alerts.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TR-PD-26</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Show data confidence and missing-source status. Missing fields must not be treated as zero or silently omitted from an apparently comparable score.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TR-PD-27</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Keep every decision metric auditable to source observations, formula/method, as-of date, scope and model version.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TR-PD-28</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Support filtering and concentration analysis by provider, underlying/exposure, tier, account, payment frequency, income-plan role and tax characteristics.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TR-PD-29</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Position does not own Plan amounts, declaration amounts, actual cash, current quantities or current market values.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TR-PD-30</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Backtesting analysis must compare multiple retained periods without overwriting prior results.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TR-PD-31</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Never overwrite or reduce original acquisition cost when a distribution is characterized as ROC. Preserve original cost as an immutable economic fact, subject only to documented corrections.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TR-PD-32</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Maintain ROC-adjusted basis separately by applicable taxable account and tax lot, with source, effective date, tax year and Estimate/Actual status. Do not apply ROC tax-basis adjustments to IRA or other non-taxable account performance views.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TR-PD-33</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Calculate total distributions received from the Investment Activity Ledger across the selected lifetime scope. Include ROC cash in that total exactly once and expose the ROC component separately when characterized.</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TR-PD-34</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Present lifetime performance using original economic cost and separately classified realized-return components. A metric must not combine ROC-adjusted basis with total distributions received.</w:t>
            </w:r>
          </w:p>
        </w:tc>
      </w:tr>
    </w:tbl>
    <w:p>
      <w:pPr>
        <w:spacing w:after="0"/>
      </w:pPr>
    </w:p>
    <w:p>
      <w:pPr>
        <w:pStyle w:val="Heading1"/>
      </w:pPr>
      <w:r>
        <w:t>9. Target Calculations</w:t>
      </w:r>
    </w:p>
    <w:p>
      <w:pPr>
        <w:pStyle w:val="Formula"/>
      </w:pPr>
      <w:r>
        <w:rPr>
          <w:rFonts w:ascii="Consolas" w:hAnsi="Consolas"/>
          <w:color w:val="0B2545"/>
          <w:sz w:val="18"/>
        </w:rPr>
        <w:t>annual_planned_distribution_per_share = plan_per_period x periods_per_year</w:t>
      </w:r>
    </w:p>
    <w:p>
      <w:pPr>
        <w:pStyle w:val="SmallNote"/>
      </w:pPr>
      <w:r>
        <w:rPr>
          <w:rFonts w:ascii="Calibri" w:hAnsi="Calibri"/>
          <w:color w:val="666666"/>
          <w:sz w:val="18"/>
        </w:rPr>
        <w:t>52/12/4 normalized annual Plan evidence.</w:t>
      </w:r>
    </w:p>
    <w:p>
      <w:pPr>
        <w:pStyle w:val="Formula"/>
      </w:pPr>
      <w:r>
        <w:rPr>
          <w:rFonts w:ascii="Consolas" w:hAnsi="Consolas"/>
          <w:color w:val="0B2545"/>
          <w:sz w:val="18"/>
        </w:rPr>
        <w:t>plan_forward_yield = annual_planned_distribution_per_share / current_market_price</w:t>
      </w:r>
    </w:p>
    <w:p>
      <w:pPr>
        <w:pStyle w:val="SmallNote"/>
      </w:pPr>
      <w:r>
        <w:rPr>
          <w:rFonts w:ascii="Calibri" w:hAnsi="Calibri"/>
          <w:color w:val="666666"/>
          <w:sz w:val="18"/>
        </w:rPr>
        <w:t>Forward yield on current price.</w:t>
      </w:r>
    </w:p>
    <w:p>
      <w:pPr>
        <w:pStyle w:val="Formula"/>
      </w:pPr>
      <w:r>
        <w:rPr>
          <w:rFonts w:ascii="Consolas" w:hAnsi="Consolas"/>
          <w:color w:val="0B2545"/>
          <w:sz w:val="18"/>
        </w:rPr>
        <w:t>plan_based_yoc = annual_planned_distribution_per_share / weighted_average_original_unit_cost</w:t>
      </w:r>
    </w:p>
    <w:p>
      <w:pPr>
        <w:pStyle w:val="SmallNote"/>
      </w:pPr>
      <w:r>
        <w:rPr>
          <w:rFonts w:ascii="Calibri" w:hAnsi="Calibri"/>
          <w:color w:val="666666"/>
          <w:sz w:val="18"/>
        </w:rPr>
        <w:t>Forward yield on original economic cost.</w:t>
      </w:r>
    </w:p>
    <w:p>
      <w:pPr>
        <w:pStyle w:val="Formula"/>
      </w:pPr>
      <w:r>
        <w:rPr>
          <w:rFonts w:ascii="Consolas" w:hAnsi="Consolas"/>
          <w:color w:val="0B2545"/>
          <w:sz w:val="18"/>
        </w:rPr>
        <w:t>market_value = open_quantity x current_market_price</w:t>
      </w:r>
    </w:p>
    <w:p>
      <w:pPr>
        <w:pStyle w:val="SmallNote"/>
      </w:pPr>
      <w:r>
        <w:rPr>
          <w:rFonts w:ascii="Calibri" w:hAnsi="Calibri"/>
          <w:color w:val="666666"/>
          <w:sz w:val="18"/>
        </w:rPr>
        <w:t>At position or Position x Account scope.</w:t>
      </w:r>
    </w:p>
    <w:p>
      <w:pPr>
        <w:pStyle w:val="Formula"/>
      </w:pPr>
      <w:r>
        <w:rPr>
          <w:rFonts w:ascii="Consolas" w:hAnsi="Consolas"/>
          <w:color w:val="0B2545"/>
          <w:sz w:val="18"/>
        </w:rPr>
        <w:t>unrealized_pnl_pct = (market_value - open_original_cost) / open_original_cost</w:t>
      </w:r>
    </w:p>
    <w:p>
      <w:pPr>
        <w:pStyle w:val="SmallNote"/>
      </w:pPr>
      <w:r>
        <w:rPr>
          <w:rFonts w:ascii="Calibri" w:hAnsi="Calibri"/>
          <w:color w:val="666666"/>
          <w:sz w:val="18"/>
        </w:rPr>
        <w:t>Current open-lot original-cost scope.</w:t>
      </w:r>
    </w:p>
    <w:p>
      <w:pPr>
        <w:pStyle w:val="Formula"/>
      </w:pPr>
      <w:r>
        <w:rPr>
          <w:rFonts w:ascii="Consolas" w:hAnsi="Consolas"/>
          <w:color w:val="0B2545"/>
          <w:sz w:val="18"/>
        </w:rPr>
        <w:t>total_distributions_received = sum(eligible distribution cash activity)</w:t>
      </w:r>
    </w:p>
    <w:p>
      <w:pPr>
        <w:pStyle w:val="SmallNote"/>
      </w:pPr>
      <w:r>
        <w:rPr>
          <w:rFonts w:ascii="Calibri" w:hAnsi="Calibri"/>
          <w:color w:val="666666"/>
          <w:sz w:val="18"/>
        </w:rPr>
        <w:t>Includes dividend and ROC cash exactly once; characterization is a component of the same payment, not additional cash.</w:t>
      </w:r>
    </w:p>
    <w:p>
      <w:pPr>
        <w:pStyle w:val="Formula"/>
      </w:pPr>
      <w:r>
        <w:rPr>
          <w:rFonts w:ascii="Consolas" w:hAnsi="Consolas"/>
          <w:color w:val="0B2545"/>
          <w:sz w:val="18"/>
        </w:rPr>
        <w:t>lifetime_economic_gain = open_unrealized_pnl + cumulative_realized_sale_pnl + total_distributions_received + net_option_premium + other_classified_realized_pnl</w:t>
      </w:r>
    </w:p>
    <w:p>
      <w:pPr>
        <w:pStyle w:val="SmallNote"/>
      </w:pPr>
      <w:r>
        <w:rPr>
          <w:rFonts w:ascii="Calibri" w:hAnsi="Calibri"/>
          <w:color w:val="666666"/>
          <w:sz w:val="18"/>
        </w:rPr>
        <w:t>Position-lifetime view using original acquisition cost in the underlying realized/unrealized P&amp;L calculations. Do not add sale proceeds when realized sale P&amp;L is already included.</w:t>
      </w:r>
    </w:p>
    <w:p>
      <w:pPr>
        <w:pStyle w:val="Formula"/>
      </w:pPr>
      <w:r>
        <w:rPr>
          <w:rFonts w:ascii="Consolas" w:hAnsi="Consolas"/>
          <w:color w:val="0B2545"/>
          <w:sz w:val="18"/>
        </w:rPr>
        <w:t>lifetime_cost_recovery_pct = total_realized_cash_return / lifetime_original_acquisition_cost</w:t>
      </w:r>
    </w:p>
    <w:p>
      <w:pPr>
        <w:pStyle w:val="SmallNote"/>
      </w:pPr>
      <w:r>
        <w:rPr>
          <w:rFonts w:ascii="Calibri" w:hAnsi="Calibri"/>
          <w:color w:val="666666"/>
          <w:sz w:val="18"/>
        </w:rPr>
        <w:t>Economic recovery measure. State which realized cash components are included and never substitute ROC-adjusted tax basis in the denominator.</w:t>
      </w:r>
    </w:p>
    <w:p>
      <w:pPr>
        <w:pStyle w:val="Formula"/>
      </w:pPr>
      <w:r>
        <w:rPr>
          <w:rFonts w:ascii="Consolas" w:hAnsi="Consolas"/>
          <w:color w:val="0B2545"/>
          <w:sz w:val="18"/>
        </w:rPr>
        <w:t>portfolio_allocation_pct = position_market_value / defined_portfolio_market_value</w:t>
      </w:r>
    </w:p>
    <w:p>
      <w:pPr>
        <w:pStyle w:val="SmallNote"/>
      </w:pPr>
      <w:r>
        <w:rPr>
          <w:rFonts w:ascii="Calibri" w:hAnsi="Calibri"/>
          <w:color w:val="666666"/>
          <w:sz w:val="18"/>
        </w:rPr>
        <w:t>Denominator scope must be explicit and stable.</w:t>
      </w:r>
    </w:p>
    <w:p>
      <w:pPr>
        <w:pStyle w:val="Formula"/>
      </w:pPr>
      <w:r>
        <w:rPr>
          <w:rFonts w:ascii="Consolas" w:hAnsi="Consolas"/>
          <w:color w:val="0B2545"/>
          <w:sz w:val="18"/>
        </w:rPr>
        <w:t>price_return = end_price / start_price - 1</w:t>
      </w:r>
    </w:p>
    <w:p>
      <w:pPr>
        <w:pStyle w:val="SmallNote"/>
      </w:pPr>
      <w:r>
        <w:rPr>
          <w:rFonts w:ascii="Calibri" w:hAnsi="Calibri"/>
          <w:color w:val="666666"/>
          <w:sz w:val="18"/>
        </w:rPr>
        <w:t>Requires consistent adjusted/unadjusted price method.</w:t>
      </w:r>
    </w:p>
    <w:p>
      <w:pPr>
        <w:pStyle w:val="Formula"/>
      </w:pPr>
      <w:r>
        <w:rPr>
          <w:rFonts w:ascii="Consolas" w:hAnsi="Consolas"/>
          <w:color w:val="0B2545"/>
          <w:sz w:val="18"/>
        </w:rPr>
        <w:t>bear_relative_return = position_bear_total_return - benchmark_bear_total_return</w:t>
      </w:r>
    </w:p>
    <w:p>
      <w:pPr>
        <w:pStyle w:val="SmallNote"/>
      </w:pPr>
      <w:r>
        <w:rPr>
          <w:rFonts w:ascii="Calibri" w:hAnsi="Calibri"/>
          <w:color w:val="666666"/>
          <w:sz w:val="18"/>
        </w:rPr>
        <w:t>Stress-period outperformance.</w:t>
      </w:r>
    </w:p>
    <w:p>
      <w:pPr>
        <w:pStyle w:val="Formula"/>
      </w:pPr>
      <w:r>
        <w:rPr>
          <w:rFonts w:ascii="Consolas" w:hAnsi="Consolas"/>
          <w:color w:val="0B2545"/>
          <w:sz w:val="18"/>
        </w:rPr>
        <w:t>distribution_cushion = bear_total_return - bear_price_return</w:t>
      </w:r>
    </w:p>
    <w:p>
      <w:pPr>
        <w:pStyle w:val="SmallNote"/>
      </w:pPr>
      <w:r>
        <w:rPr>
          <w:rFonts w:ascii="Calibri" w:hAnsi="Calibri"/>
          <w:color w:val="666666"/>
          <w:sz w:val="18"/>
        </w:rPr>
        <w:t>Approximation only when the return methodologies are compatible.</w:t>
      </w:r>
    </w:p>
    <w:p>
      <w:pPr>
        <w:pStyle w:val="Formula"/>
      </w:pPr>
      <w:r>
        <w:rPr>
          <w:rFonts w:ascii="Consolas" w:hAnsi="Consolas"/>
          <w:color w:val="0B2545"/>
          <w:sz w:val="18"/>
        </w:rPr>
        <w:t>downside_capture = position_bear_total_return / benchmark_bear_total_return</w:t>
      </w:r>
    </w:p>
    <w:p>
      <w:pPr>
        <w:pStyle w:val="SmallNote"/>
      </w:pPr>
      <w:r>
        <w:rPr>
          <w:rFonts w:ascii="Calibri" w:hAnsi="Calibri"/>
          <w:color w:val="666666"/>
          <w:sz w:val="18"/>
        </w:rPr>
        <w:t>Calculate only when benchmark return is negative; define positive-position handling.</w:t>
      </w:r>
    </w:p>
    <w:p>
      <w:pPr>
        <w:pStyle w:val="Formula"/>
      </w:pPr>
      <w:r>
        <w:rPr>
          <w:rFonts w:ascii="Consolas" w:hAnsi="Consolas"/>
          <w:color w:val="0B2545"/>
          <w:sz w:val="18"/>
        </w:rPr>
        <w:t>upside_capture = position_bull_total_return / benchmark_bull_total_return</w:t>
      </w:r>
    </w:p>
    <w:p>
      <w:pPr>
        <w:pStyle w:val="SmallNote"/>
      </w:pPr>
      <w:r>
        <w:rPr>
          <w:rFonts w:ascii="Calibri" w:hAnsi="Calibri"/>
          <w:color w:val="666666"/>
          <w:sz w:val="18"/>
        </w:rPr>
        <w:t>Calculate only when benchmark return is positive.</w:t>
      </w:r>
    </w:p>
    <w:p>
      <w:pPr>
        <w:pStyle w:val="Formula"/>
      </w:pPr>
      <w:r>
        <w:rPr>
          <w:rFonts w:ascii="Consolas" w:hAnsi="Consolas"/>
          <w:color w:val="0B2545"/>
          <w:sz w:val="18"/>
        </w:rPr>
        <w:t>data_completeness = present_required_components / required_components</w:t>
      </w:r>
    </w:p>
    <w:p>
      <w:pPr>
        <w:pStyle w:val="SmallNote"/>
      </w:pPr>
      <w:r>
        <w:rPr>
          <w:rFonts w:ascii="Calibri" w:hAnsi="Calibri"/>
          <w:color w:val="666666"/>
          <w:sz w:val="18"/>
        </w:rPr>
        <w:t>Do not reweight a composite solely because inputs are absent.</w:t>
      </w:r>
    </w:p>
    <w:p>
      <w:pPr>
        <w:pStyle w:val="Heading1"/>
      </w:pPr>
      <w:r>
        <w:t>10. Data Migration and Reconciliation Plan</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cantSplit/>
        </w:trPr>
        <w:tc>
          <w:tcPr>
            <w:tcW w:type="dxa" w:w="700"/>
            <w:shd w:fill="F2F4F7"/>
            <w:tcMar>
              <w:top w:w="80" w:type="dxa"/>
              <w:start w:w="120" w:type="dxa"/>
              <w:bottom w:w="80" w:type="dxa"/>
              <w:end w:w="120" w:type="dxa"/>
            </w:tcMar>
            <w:vAlign w:val="center"/>
          </w:tcPr>
          <w:p>
            <w:pPr>
              <w:spacing w:after="0"/>
            </w:pPr>
            <w:r>
              <w:rPr>
                <w:rFonts w:ascii="Calibri" w:hAnsi="Calibri"/>
                <w:b/>
                <w:color w:val="0B2545"/>
                <w:sz w:val="17"/>
              </w:rPr>
              <w:t>Step</w:t>
            </w:r>
          </w:p>
        </w:tc>
        <w:tc>
          <w:tcPr>
            <w:tcW w:type="dxa" w:w="8660"/>
            <w:shd w:fill="F2F4F7"/>
            <w:tcMar>
              <w:top w:w="80" w:type="dxa"/>
              <w:start w:w="120" w:type="dxa"/>
              <w:bottom w:w="80" w:type="dxa"/>
              <w:end w:w="120" w:type="dxa"/>
            </w:tcMar>
            <w:vAlign w:val="center"/>
          </w:tcPr>
          <w:p>
            <w:pPr>
              <w:spacing w:after="0"/>
            </w:pPr>
            <w:r>
              <w:rPr>
                <w:rFonts w:ascii="Calibri" w:hAnsi="Calibri"/>
                <w:b/>
                <w:color w:val="0B2545"/>
                <w:sz w:val="17"/>
              </w:rPr>
              <w:t>Migration requirement</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1</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Extract the 41 Position Details rows exactly, including original text, blanks, formulas/cached values and source coordinates.</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2</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Create a field-level merge review across live Position Details, Grok Template_Positions and Calculator. For every conflicting field retain each source value, source date, confidence and proposed target value.</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3</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Create Position identities and identifier history. Do not omit zero-quantity benchmark-style rows solely because they are not current holdings.</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4</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Import live tier labels as historical owner classifications without renaming Risk On.</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5</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Normalize provider, frequency, Type2 and tax values through proposed mappings; preserve raw source text and require owner sign-off for semantic changes.</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6</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Load the 35 available bear and bull evidence sets as legacy PositionBacktestResults. Bear period label is Jan 2-Apr 7 with year_unverified; bull dates remain unverified. Do not represent these as reproducible calculations until dates/method are supplied.</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7</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Recalculate quantities, costs, prices, values, allocations and account splits from authoritative domains. Never load U Car Value as truth.</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8</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Recalculate Plan-related yields from PlanHistory and PriceQuote; do not migrate Position Details copies as authorities.</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9</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Reconcile total quantity by symbol to Holdings, and account quantities to their sum. Flag unexplained residual accounts rather than forcing them into Car.</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10</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Import actual original acquisition cost without applying ROC reductions. Import or reconstruct ROC-adjusted tax basis only into separate taxable-account/tax-lot records with source and confidence.</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11</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Reconcile total distributions received to the Investment Activity Ledger. Where tax characterization exists, identify the ROC component without creating a second cash receipt or reducing original economic cost.</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12</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Retain the legacy Average all scores for comparison only, with its exact contributing component count.</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13</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Produce an owner-review exception table before database load. No conflict is resolved silently.</w:t>
            </w:r>
          </w:p>
        </w:tc>
      </w:tr>
      <w:tr>
        <w:trPr>
          <w:cantSplit/>
        </w:trPr>
        <w:tc>
          <w:tcPr>
            <w:tcW w:type="dxa" w:w="700"/>
            <w:tcMar>
              <w:top w:w="80" w:type="dxa"/>
              <w:start w:w="120" w:type="dxa"/>
              <w:bottom w:w="80" w:type="dxa"/>
              <w:end w:w="120" w:type="dxa"/>
            </w:tcMar>
            <w:vAlign w:val="center"/>
          </w:tcPr>
          <w:p>
            <w:pPr>
              <w:spacing w:after="0" w:line="240" w:lineRule="auto"/>
            </w:pPr>
            <w:r>
              <w:rPr>
                <w:rFonts w:ascii="Calibri" w:hAnsi="Calibri"/>
                <w:sz w:val="17"/>
              </w:rPr>
              <w:t>14</w:t>
            </w:r>
          </w:p>
        </w:tc>
        <w:tc>
          <w:tcPr>
            <w:tcW w:type="dxa" w:w="8660"/>
            <w:tcMar>
              <w:top w:w="80" w:type="dxa"/>
              <w:start w:w="120" w:type="dxa"/>
              <w:bottom w:w="80" w:type="dxa"/>
              <w:end w:w="120" w:type="dxa"/>
            </w:tcMar>
            <w:vAlign w:val="center"/>
          </w:tcPr>
          <w:p>
            <w:pPr>
              <w:spacing w:after="0" w:line="240" w:lineRule="auto"/>
            </w:pPr>
            <w:r>
              <w:rPr>
                <w:rFonts w:ascii="Calibri" w:hAnsi="Calibri"/>
                <w:sz w:val="17"/>
              </w:rPr>
              <w:t>After load, validate the new Position Details view against representative live rows and portfolio totals using source/as-of-aligned data.</w:t>
            </w:r>
          </w:p>
        </w:tc>
      </w:tr>
    </w:tbl>
    <w:p>
      <w:pPr>
        <w:spacing w:after="0"/>
      </w:pPr>
    </w:p>
    <w:p>
      <w:pPr>
        <w:pStyle w:val="Heading2"/>
      </w:pPr>
      <w:r>
        <w:t>10.1 Required merge-review columns</w:t>
      </w:r>
    </w:p>
    <w:p>
      <w:r>
        <w:rPr>
          <w:rFonts w:ascii="Calibri" w:hAnsi="Calibri"/>
          <w:sz w:val="22"/>
        </w:rPr>
        <w:t>The review artifact must include: position_id candidate, symbol, target field, live Position Details value, Template_Positions value, Calculator value where applicable, proposed normalized value, authoritative source, source cell/range, as-of date, conflict type, confidence, owner decision, migration status and notes.</w:t>
      </w:r>
    </w:p>
    <w:p>
      <w:pPr>
        <w:pStyle w:val="Heading1"/>
      </w:pPr>
      <w:r>
        <w:t>11. Acceptance Criteria for Application Design and Build</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cantSplit/>
        </w:trPr>
        <w:tc>
          <w:tcPr>
            <w:tcW w:type="dxa" w:w="1300"/>
            <w:shd w:fill="F2F4F7"/>
            <w:tcMar>
              <w:top w:w="80" w:type="dxa"/>
              <w:start w:w="120" w:type="dxa"/>
              <w:bottom w:w="80" w:type="dxa"/>
              <w:end w:w="120" w:type="dxa"/>
            </w:tcMar>
            <w:vAlign w:val="center"/>
          </w:tcPr>
          <w:p>
            <w:pPr>
              <w:spacing w:after="0"/>
            </w:pPr>
            <w:r>
              <w:rPr>
                <w:rFonts w:ascii="Calibri" w:hAnsi="Calibri"/>
                <w:b/>
                <w:color w:val="0B2545"/>
                <w:sz w:val="17"/>
              </w:rPr>
              <w:t>ID</w:t>
            </w:r>
          </w:p>
        </w:tc>
        <w:tc>
          <w:tcPr>
            <w:tcW w:type="dxa" w:w="8060"/>
            <w:shd w:fill="F2F4F7"/>
            <w:tcMar>
              <w:top w:w="80" w:type="dxa"/>
              <w:start w:w="120" w:type="dxa"/>
              <w:bottom w:w="80" w:type="dxa"/>
              <w:end w:w="120" w:type="dxa"/>
            </w:tcMar>
            <w:vAlign w:val="center"/>
          </w:tcPr>
          <w:p>
            <w:pPr>
              <w:spacing w:after="0"/>
            </w:pPr>
            <w:r>
              <w:rPr>
                <w:rFonts w:ascii="Calibri" w:hAnsi="Calibri"/>
                <w:b/>
                <w:color w:val="0B2545"/>
                <w:sz w:val="17"/>
              </w:rPr>
              <w:t>Acceptance criterion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AC-PD-01</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Every one of the 35 live fields has a documented target source or explicit retire/legacy disposition.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AC-PD-02</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The new view displays all 41 imported positions or explains each exclusion through a recorded status.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AC-PD-03</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No target formula depends on volatile OFFSET architecture, fixed table row order or fixed account columns.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AC-PD-04</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For a selected as-of timestamp, total and account quantities reconcile to open lots; account quantities sum to the consolidated quantity or produce a named exception.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AC-PD-05</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Market values and portfolio allocation reconcile to the explicitly selected portfolio/account scope.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AC-PD-06</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Plan-based yield and YOC reconcile to PlanHistory using 52/12/4.</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AC-PD-07</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Car market value is recalculated from Car-account lots; the defective live U formula is not loaded.</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AC-PD-08</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Backtest results cannot be created without period dates, method and source; legacy imports visibly retain unverified metadata.</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AC-PD-09</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Price return, distribution contribution and total return are displayed separately.</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AC-PD-10</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Benchmark-relative metrics and capture calculations use guarded formulas and an explicit benchmark.</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AC-PD-11</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Missing evidence lowers completeness/confidence and never silently changes composite weights.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AC-PD-12</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Risk-tier suggestions show their components and ruleset; only an authorized owner action changes the effective classification.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AC-PD-13</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Expected weekday patterns do not overwrite or masquerade as actual event dates.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AC-PD-14</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Every displayed metric exposes source/as-of/scope/provenance sufficient for audit.</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AC-PD-15</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Closed or inactive positions remain available for lifetime performance and backtesting analysis without appearing as active holdings.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AC-PD-16</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For an ROC position, original acquisition cost remains unchanged after an ROC characterization or tax-basis update.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AC-PD-17</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Total distributions received reconciles to Investment Activity Ledger cash. The characterized ROC component is visible but is not counted as additional cash.</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AC-PD-18</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Lifetime performance and cost-recovery calculations use original economic cost and cannot select ROC-adjusted tax basis as their denominator.</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AC-PD-19</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A taxable sale estimate uses the applicable account/tax-lot adjusted basis and clearly labels it as tax basis, without changing economic performance history.</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7"/>
              </w:rPr>
              <w:t>AC-PD-20</w:t>
            </w:r>
          </w:p>
        </w:tc>
        <w:tc>
          <w:tcPr>
            <w:tcW w:type="dxa" w:w="8060"/>
            <w:tcMar>
              <w:top w:w="80" w:type="dxa"/>
              <w:start w:w="120" w:type="dxa"/>
              <w:bottom w:w="80" w:type="dxa"/>
              <w:end w:w="120" w:type="dxa"/>
            </w:tcMar>
            <w:vAlign w:val="center"/>
          </w:tcPr>
          <w:p>
            <w:pPr>
              <w:spacing w:after="0" w:line="240" w:lineRule="auto"/>
            </w:pPr>
            <w:r>
              <w:rPr>
                <w:rFonts w:ascii="Calibri" w:hAnsi="Calibri"/>
                <w:sz w:val="17"/>
              </w:rPr>
              <w:t>The system prevents or flags any calculation that combines total distributions received with a ROC-reduced economic-cost denominator.</w:t>
            </w:r>
          </w:p>
        </w:tc>
      </w:tr>
    </w:tbl>
    <w:p>
      <w:pPr>
        <w:spacing w:after="0"/>
      </w:pPr>
    </w:p>
    <w:p>
      <w:pPr>
        <w:pStyle w:val="Heading1"/>
      </w:pPr>
      <w:r>
        <w:t>12. Explicit Legacy Unknowns and Non-Blocking Decisions</w:t>
      </w:r>
    </w:p>
    <w:p>
      <w:r>
        <w:rPr>
          <w:rFonts w:ascii="Calibri" w:hAnsi="Calibri"/>
          <w:sz w:val="22"/>
        </w:rPr>
        <w:t>The following facts cannot be proven from the workbook. They are explicitly represented in the design so they do not force a developer to invent behavior or prevent schema design:</w:t>
      </w:r>
    </w:p>
    <w:tbl>
      <w:tblPr>
        <w:tblStyle w:val="TableGrid"/>
        <w:tblW w:type="dxa" w:w="9360"/>
        <w:jc w:val="left"/>
        <w:tblLayout w:type="fixed"/>
        <w:tblLook w:firstColumn="1" w:firstRow="1" w:lastColumn="0" w:lastRow="0" w:noHBand="0" w:noVBand="1" w:val="04A0"/>
        <w:tblInd w:w="120" w:type="dxa"/>
      </w:tblPr>
      <w:tblGrid>
        <w:gridCol w:w="2750"/>
        <w:gridCol w:w="6610"/>
      </w:tblGrid>
      <w:tr>
        <w:trPr>
          <w:tblHeader w:val="true"/>
          <w:cantSplit/>
        </w:trPr>
        <w:tc>
          <w:tcPr>
            <w:tcW w:type="dxa" w:w="2750"/>
            <w:shd w:fill="F2F4F7"/>
            <w:tcMar>
              <w:top w:w="80" w:type="dxa"/>
              <w:start w:w="120" w:type="dxa"/>
              <w:bottom w:w="80" w:type="dxa"/>
              <w:end w:w="120" w:type="dxa"/>
            </w:tcMar>
            <w:vAlign w:val="center"/>
          </w:tcPr>
          <w:p>
            <w:pPr>
              <w:spacing w:after="0"/>
            </w:pPr>
            <w:r>
              <w:rPr>
                <w:rFonts w:ascii="Calibri" w:hAnsi="Calibri"/>
                <w:b/>
                <w:color w:val="0B2545"/>
                <w:sz w:val="17"/>
              </w:rPr>
              <w:t>Legacy unknown/open decision</w:t>
            </w:r>
          </w:p>
        </w:tc>
        <w:tc>
          <w:tcPr>
            <w:tcW w:type="dxa" w:w="6610"/>
            <w:shd w:fill="F2F4F7"/>
            <w:tcMar>
              <w:top w:w="80" w:type="dxa"/>
              <w:start w:w="120" w:type="dxa"/>
              <w:bottom w:w="80" w:type="dxa"/>
              <w:end w:w="120" w:type="dxa"/>
            </w:tcMar>
            <w:vAlign w:val="center"/>
          </w:tcPr>
          <w:p>
            <w:pPr>
              <w:spacing w:after="0"/>
            </w:pPr>
            <w:r>
              <w:rPr>
                <w:rFonts w:ascii="Calibri" w:hAnsi="Calibri"/>
                <w:b/>
                <w:color w:val="0B2545"/>
                <w:sz w:val="17"/>
              </w:rPr>
              <w:t>Required safe treatment</w:t>
            </w:r>
          </w:p>
        </w:tc>
      </w:tr>
      <w:tr>
        <w:trPr>
          <w:cantSplit/>
        </w:trPr>
        <w:tc>
          <w:tcPr>
            <w:tcW w:type="dxa" w:w="2750"/>
            <w:tcMar>
              <w:top w:w="80" w:type="dxa"/>
              <w:start w:w="120" w:type="dxa"/>
              <w:bottom w:w="80" w:type="dxa"/>
              <w:end w:w="120" w:type="dxa"/>
            </w:tcMar>
            <w:vAlign w:val="center"/>
          </w:tcPr>
          <w:p>
            <w:pPr>
              <w:spacing w:after="0" w:line="240" w:lineRule="auto"/>
            </w:pPr>
            <w:r>
              <w:rPr>
                <w:rFonts w:ascii="Calibri" w:hAnsi="Calibri"/>
                <w:sz w:val="17"/>
              </w:rPr>
              <w:t>Bull-period exact dates</w:t>
            </w:r>
          </w:p>
        </w:tc>
        <w:tc>
          <w:tcPr>
            <w:tcW w:type="dxa" w:w="6610"/>
            <w:tcMar>
              <w:top w:w="80" w:type="dxa"/>
              <w:start w:w="120" w:type="dxa"/>
              <w:bottom w:w="80" w:type="dxa"/>
              <w:end w:w="120" w:type="dxa"/>
            </w:tcMar>
            <w:vAlign w:val="center"/>
          </w:tcPr>
          <w:p>
            <w:pPr>
              <w:spacing w:after="0" w:line="240" w:lineRule="auto"/>
            </w:pPr>
            <w:r>
              <w:rPr>
                <w:rFonts w:ascii="Calibri" w:hAnsi="Calibri"/>
                <w:sz w:val="17"/>
              </w:rPr>
              <w:t>Not stored in the field header. The nearby “Ranking as of 9/20/25” is contextual evidence, not a canonical end date. Import with date_unverified.</w:t>
            </w:r>
          </w:p>
        </w:tc>
      </w:tr>
      <w:tr>
        <w:trPr>
          <w:cantSplit/>
        </w:trPr>
        <w:tc>
          <w:tcPr>
            <w:tcW w:type="dxa" w:w="2750"/>
            <w:tcMar>
              <w:top w:w="80" w:type="dxa"/>
              <w:start w:w="120" w:type="dxa"/>
              <w:bottom w:w="80" w:type="dxa"/>
              <w:end w:w="120" w:type="dxa"/>
            </w:tcMar>
            <w:vAlign w:val="center"/>
          </w:tcPr>
          <w:p>
            <w:pPr>
              <w:spacing w:after="0" w:line="240" w:lineRule="auto"/>
            </w:pPr>
            <w:r>
              <w:rPr>
                <w:rFonts w:ascii="Calibri" w:hAnsi="Calibri"/>
                <w:sz w:val="17"/>
              </w:rPr>
              <w:t>Bear-period year</w:t>
            </w:r>
          </w:p>
        </w:tc>
        <w:tc>
          <w:tcPr>
            <w:tcW w:type="dxa" w:w="6610"/>
            <w:tcMar>
              <w:top w:w="80" w:type="dxa"/>
              <w:start w:w="120" w:type="dxa"/>
              <w:bottom w:w="80" w:type="dxa"/>
              <w:end w:w="120" w:type="dxa"/>
            </w:tcMar>
            <w:vAlign w:val="center"/>
          </w:tcPr>
          <w:p>
            <w:pPr>
              <w:spacing w:after="0" w:line="240" w:lineRule="auto"/>
            </w:pPr>
            <w:r>
              <w:rPr>
                <w:rFonts w:ascii="Calibri" w:hAnsi="Calibri"/>
                <w:sz w:val="17"/>
              </w:rPr>
              <w:t>Header stores Jan 2-Apr 7 without a year. Import with year_unverified until owner confirmation.</w:t>
            </w:r>
          </w:p>
        </w:tc>
      </w:tr>
      <w:tr>
        <w:trPr>
          <w:cantSplit/>
        </w:trPr>
        <w:tc>
          <w:tcPr>
            <w:tcW w:type="dxa" w:w="2750"/>
            <w:tcMar>
              <w:top w:w="80" w:type="dxa"/>
              <w:start w:w="120" w:type="dxa"/>
              <w:bottom w:w="80" w:type="dxa"/>
              <w:end w:w="120" w:type="dxa"/>
            </w:tcMar>
            <w:vAlign w:val="center"/>
          </w:tcPr>
          <w:p>
            <w:pPr>
              <w:spacing w:after="0" w:line="240" w:lineRule="auto"/>
            </w:pPr>
            <w:r>
              <w:rPr>
                <w:rFonts w:ascii="Calibri" w:hAnsi="Calibri"/>
                <w:sz w:val="17"/>
              </w:rPr>
              <w:t>Historical return method</w:t>
            </w:r>
          </w:p>
        </w:tc>
        <w:tc>
          <w:tcPr>
            <w:tcW w:type="dxa" w:w="6610"/>
            <w:tcMar>
              <w:top w:w="80" w:type="dxa"/>
              <w:start w:w="120" w:type="dxa"/>
              <w:bottom w:w="80" w:type="dxa"/>
              <w:end w:w="120" w:type="dxa"/>
            </w:tcMar>
            <w:vAlign w:val="center"/>
          </w:tcPr>
          <w:p>
            <w:pPr>
              <w:spacing w:after="0" w:line="240" w:lineRule="auto"/>
            </w:pPr>
            <w:r>
              <w:rPr>
                <w:rFonts w:ascii="Calibri" w:hAnsi="Calibri"/>
                <w:sz w:val="17"/>
              </w:rPr>
              <w:t>The workbook does not identify adjusted close, reinvested distributions or cash-return method. Store source/method as legacy_unknown.</w:t>
            </w:r>
          </w:p>
        </w:tc>
      </w:tr>
      <w:tr>
        <w:trPr>
          <w:cantSplit/>
        </w:trPr>
        <w:tc>
          <w:tcPr>
            <w:tcW w:type="dxa" w:w="2750"/>
            <w:tcMar>
              <w:top w:w="80" w:type="dxa"/>
              <w:start w:w="120" w:type="dxa"/>
              <w:bottom w:w="80" w:type="dxa"/>
              <w:end w:w="120" w:type="dxa"/>
            </w:tcMar>
            <w:vAlign w:val="center"/>
          </w:tcPr>
          <w:p>
            <w:pPr>
              <w:spacing w:after="0" w:line="240" w:lineRule="auto"/>
            </w:pPr>
            <w:r>
              <w:rPr>
                <w:rFonts w:ascii="Calibri" w:hAnsi="Calibri"/>
                <w:sz w:val="17"/>
              </w:rPr>
              <w:t>Diversification methodology</w:t>
            </w:r>
          </w:p>
        </w:tc>
        <w:tc>
          <w:tcPr>
            <w:tcW w:type="dxa" w:w="6610"/>
            <w:tcMar>
              <w:top w:w="80" w:type="dxa"/>
              <w:start w:w="120" w:type="dxa"/>
              <w:bottom w:w="80" w:type="dxa"/>
              <w:end w:w="120" w:type="dxa"/>
            </w:tcMar>
            <w:vAlign w:val="center"/>
          </w:tcPr>
          <w:p>
            <w:pPr>
              <w:spacing w:after="0" w:line="240" w:lineRule="auto"/>
            </w:pPr>
            <w:r>
              <w:rPr>
                <w:rFonts w:ascii="Calibri" w:hAnsi="Calibri"/>
                <w:sz w:val="17"/>
              </w:rPr>
              <w:t>The live score scale is visible but its rules are not encoded. Preserve values; do not claim a reproducible formula.</w:t>
            </w:r>
          </w:p>
        </w:tc>
      </w:tr>
      <w:tr>
        <w:trPr>
          <w:cantSplit/>
        </w:trPr>
        <w:tc>
          <w:tcPr>
            <w:tcW w:type="dxa" w:w="2750"/>
            <w:tcMar>
              <w:top w:w="80" w:type="dxa"/>
              <w:start w:w="120" w:type="dxa"/>
              <w:bottom w:w="80" w:type="dxa"/>
              <w:end w:w="120" w:type="dxa"/>
            </w:tcMar>
            <w:vAlign w:val="center"/>
          </w:tcPr>
          <w:p>
            <w:pPr>
              <w:spacing w:after="0" w:line="240" w:lineRule="auto"/>
            </w:pPr>
            <w:r>
              <w:rPr>
                <w:rFonts w:ascii="Calibri" w:hAnsi="Calibri"/>
                <w:sz w:val="17"/>
              </w:rPr>
              <w:t>Canonical future tier labels/thresholds</w:t>
            </w:r>
          </w:p>
        </w:tc>
        <w:tc>
          <w:tcPr>
            <w:tcW w:type="dxa" w:w="6610"/>
            <w:tcMar>
              <w:top w:w="80" w:type="dxa"/>
              <w:start w:w="120" w:type="dxa"/>
              <w:bottom w:w="80" w:type="dxa"/>
              <w:end w:w="120" w:type="dxa"/>
            </w:tcMar>
            <w:vAlign w:val="center"/>
          </w:tcPr>
          <w:p>
            <w:pPr>
              <w:spacing w:after="0" w:line="240" w:lineRule="auto"/>
            </w:pPr>
            <w:r>
              <w:rPr>
                <w:rFonts w:ascii="Calibri" w:hAnsi="Calibri"/>
                <w:sz w:val="17"/>
              </w:rPr>
              <w:t>Preserve current labels and support versioned rules. Exact future thresholds are configuration/owner decisions, not schema blockers.</w:t>
            </w:r>
          </w:p>
        </w:tc>
      </w:tr>
      <w:tr>
        <w:trPr>
          <w:cantSplit/>
        </w:trPr>
        <w:tc>
          <w:tcPr>
            <w:tcW w:type="dxa" w:w="2750"/>
            <w:tcMar>
              <w:top w:w="80" w:type="dxa"/>
              <w:start w:w="120" w:type="dxa"/>
              <w:bottom w:w="80" w:type="dxa"/>
              <w:end w:w="120" w:type="dxa"/>
            </w:tcMar>
            <w:vAlign w:val="center"/>
          </w:tcPr>
          <w:p>
            <w:pPr>
              <w:spacing w:after="0" w:line="240" w:lineRule="auto"/>
            </w:pPr>
            <w:r>
              <w:rPr>
                <w:rFonts w:ascii="Calibri" w:hAnsi="Calibri"/>
                <w:sz w:val="17"/>
              </w:rPr>
              <w:t>Type2 semantics</w:t>
            </w:r>
          </w:p>
        </w:tc>
        <w:tc>
          <w:tcPr>
            <w:tcW w:type="dxa" w:w="6610"/>
            <w:tcMar>
              <w:top w:w="80" w:type="dxa"/>
              <w:start w:w="120" w:type="dxa"/>
              <w:bottom w:w="80" w:type="dxa"/>
              <w:end w:w="120" w:type="dxa"/>
            </w:tcMar>
            <w:vAlign w:val="center"/>
          </w:tcPr>
          <w:p>
            <w:pPr>
              <w:spacing w:after="0" w:line="240" w:lineRule="auto"/>
            </w:pPr>
            <w:r>
              <w:rPr>
                <w:rFonts w:ascii="Calibri" w:hAnsi="Calibri"/>
                <w:sz w:val="17"/>
              </w:rPr>
              <w:t>Variants are visible but DIV-1/DIV-2 meanings are not fully encoded. Preserve raw values and separate target concepts before mapping.</w:t>
            </w:r>
          </w:p>
        </w:tc>
      </w:tr>
      <w:tr>
        <w:trPr>
          <w:cantSplit/>
        </w:trPr>
        <w:tc>
          <w:tcPr>
            <w:tcW w:type="dxa" w:w="2750"/>
            <w:tcMar>
              <w:top w:w="80" w:type="dxa"/>
              <w:start w:w="120" w:type="dxa"/>
              <w:bottom w:w="80" w:type="dxa"/>
              <w:end w:w="120" w:type="dxa"/>
            </w:tcMar>
            <w:vAlign w:val="center"/>
          </w:tcPr>
          <w:p>
            <w:pPr>
              <w:spacing w:after="0" w:line="240" w:lineRule="auto"/>
            </w:pPr>
            <w:r>
              <w:rPr>
                <w:rFonts w:ascii="Calibri" w:hAnsi="Calibri"/>
                <w:sz w:val="17"/>
              </w:rPr>
              <w:t>Sector data</w:t>
            </w:r>
          </w:p>
        </w:tc>
        <w:tc>
          <w:tcPr>
            <w:tcW w:type="dxa" w:w="6610"/>
            <w:tcMar>
              <w:top w:w="80" w:type="dxa"/>
              <w:start w:w="120" w:type="dxa"/>
              <w:bottom w:w="80" w:type="dxa"/>
              <w:end w:w="120" w:type="dxa"/>
            </w:tcMar>
            <w:vAlign w:val="center"/>
          </w:tcPr>
          <w:p>
            <w:pPr>
              <w:spacing w:after="0" w:line="240" w:lineRule="auto"/>
            </w:pPr>
            <w:r>
              <w:rPr>
                <w:rFonts w:ascii="Calibri" w:hAnsi="Calibri"/>
                <w:sz w:val="17"/>
              </w:rPr>
              <w:t>All current rows are blank. Target supports normalized exposure classifications, but no sector seed is claimed.</w:t>
            </w:r>
          </w:p>
        </w:tc>
      </w:tr>
      <w:tr>
        <w:trPr>
          <w:cantSplit/>
        </w:trPr>
        <w:tc>
          <w:tcPr>
            <w:tcW w:type="dxa" w:w="2750"/>
            <w:tcMar>
              <w:top w:w="80" w:type="dxa"/>
              <w:start w:w="120" w:type="dxa"/>
              <w:bottom w:w="80" w:type="dxa"/>
              <w:end w:w="120" w:type="dxa"/>
            </w:tcMar>
            <w:vAlign w:val="center"/>
          </w:tcPr>
          <w:p>
            <w:pPr>
              <w:spacing w:after="0" w:line="240" w:lineRule="auto"/>
            </w:pPr>
            <w:r>
              <w:rPr>
                <w:rFonts w:ascii="Calibri" w:hAnsi="Calibri"/>
                <w:sz w:val="17"/>
              </w:rPr>
              <w:t>Historical ROC characterization completeness</w:t>
            </w:r>
          </w:p>
        </w:tc>
        <w:tc>
          <w:tcPr>
            <w:tcW w:type="dxa" w:w="6610"/>
            <w:tcMar>
              <w:top w:w="80" w:type="dxa"/>
              <w:start w:w="120" w:type="dxa"/>
              <w:bottom w:w="80" w:type="dxa"/>
              <w:end w:w="120" w:type="dxa"/>
            </w:tcMar>
            <w:vAlign w:val="center"/>
          </w:tcPr>
          <w:p>
            <w:pPr>
              <w:spacing w:after="0" w:line="240" w:lineRule="auto"/>
            </w:pPr>
            <w:r>
              <w:rPr>
                <w:rFonts w:ascii="Calibri" w:hAnsi="Calibri"/>
                <w:sz w:val="17"/>
              </w:rPr>
              <w:t>Total cash received remains authoritative even when dividend-versus-ROC character is missing. Show unclassified character and confidence; do not infer ROC or alter original cost.</w:t>
            </w:r>
          </w:p>
        </w:tc>
      </w:tr>
      <w:tr>
        <w:trPr>
          <w:cantSplit/>
        </w:trPr>
        <w:tc>
          <w:tcPr>
            <w:tcW w:type="dxa" w:w="2750"/>
            <w:tcMar>
              <w:top w:w="80" w:type="dxa"/>
              <w:start w:w="120" w:type="dxa"/>
              <w:bottom w:w="80" w:type="dxa"/>
              <w:end w:w="120" w:type="dxa"/>
            </w:tcMar>
            <w:vAlign w:val="center"/>
          </w:tcPr>
          <w:p>
            <w:pPr>
              <w:spacing w:after="0" w:line="240" w:lineRule="auto"/>
            </w:pPr>
            <w:r>
              <w:rPr>
                <w:rFonts w:ascii="Calibri" w:hAnsi="Calibri"/>
                <w:sz w:val="17"/>
              </w:rPr>
              <w:t>Lifetime cost-recovery component scope</w:t>
            </w:r>
          </w:p>
        </w:tc>
        <w:tc>
          <w:tcPr>
            <w:tcW w:type="dxa" w:w="6610"/>
            <w:tcMar>
              <w:top w:w="80" w:type="dxa"/>
              <w:start w:w="120" w:type="dxa"/>
              <w:bottom w:w="80" w:type="dxa"/>
              <w:end w:w="120" w:type="dxa"/>
            </w:tcMar>
            <w:vAlign w:val="center"/>
          </w:tcPr>
          <w:p>
            <w:pPr>
              <w:spacing w:after="0" w:line="240" w:lineRule="auto"/>
            </w:pPr>
            <w:r>
              <w:rPr>
                <w:rFonts w:ascii="Calibri" w:hAnsi="Calibri"/>
                <w:sz w:val="17"/>
              </w:rPr>
              <w:t>The denominator is lifetime original acquisition cost. The included numerator components—distributions, option premium, realized sale P&amp;L and other realized return—must be explicit so unlike scopes are not compared as equivalent.</w:t>
            </w:r>
          </w:p>
        </w:tc>
      </w:tr>
    </w:tbl>
    <w:p>
      <w:pPr>
        <w:spacing w:after="0"/>
      </w:pPr>
    </w:p>
    <w:p>
      <w:pPr>
        <w:pStyle w:val="Heading1"/>
      </w:pPr>
      <w:r>
        <w:t>13. Final Status</w:t>
      </w:r>
    </w:p>
    <w:p>
      <w:pPr>
        <w:spacing w:before="80" w:after="160"/>
        <w:ind w:left="115" w:right="115"/>
        <w:shd w:fill="E2F0D9"/>
      </w:pPr>
      <w:r>
        <w:rPr>
          <w:rFonts w:ascii="Calibri" w:hAnsi="Calibri"/>
          <w:b/>
          <w:color w:val="0B2545"/>
          <w:sz w:val="22"/>
        </w:rPr>
        <w:t xml:space="preserve">Approved foundation: </w:t>
      </w:r>
      <w:r>
        <w:rPr>
          <w:rFonts w:ascii="Calibri" w:hAnsi="Calibri"/>
          <w:color w:val="0B2545"/>
          <w:sz w:val="22"/>
        </w:rPr>
        <w:t>This document is complete enough to proceed into Position Details application design and target-schema design. It preserves every live table field, records exact formula behavior and defects, defines the bull/bear backtesting enhancement, establishes domain ownership and provides migration and acceptance requirements.</w:t>
      </w:r>
    </w:p>
    <w:p>
      <w:r>
        <w:rPr>
          <w:rFonts w:ascii="Calibri" w:hAnsi="Calibri"/>
          <w:sz w:val="22"/>
        </w:rPr>
        <w:t>The application design must not treat the existing Average all scores, Car Value, Yield on Cost or undated bull result as production truth. Those are documented legacy artifacts. The valuable business intent—income reliability, downside resistance, recovery strength, NAV persistence and concentration awareness—is retained and strengthened through explicit, auditable evidence dimensions.</w:t>
      </w:r>
    </w:p>
    <w:p>
      <w:pPr>
        <w:pStyle w:val="Heading1"/>
      </w:pPr>
      <w:r>
        <w:t>Appendix A. Current Formula Map</w:t>
      </w:r>
    </w:p>
    <w:tbl>
      <w:tblPr>
        <w:tblStyle w:val="TableGrid"/>
        <w:tblW w:type="dxa" w:w="9360"/>
        <w:jc w:val="left"/>
        <w:tblLayout w:type="fixed"/>
        <w:tblLook w:firstColumn="1" w:firstRow="1" w:lastColumn="0" w:lastRow="0" w:noHBand="0" w:noVBand="1" w:val="04A0"/>
        <w:tblInd w:w="120" w:type="dxa"/>
      </w:tblPr>
      <w:tblGrid>
        <w:gridCol w:w="1300"/>
        <w:gridCol w:w="3600"/>
        <w:gridCol w:w="4460"/>
      </w:tblGrid>
      <w:tr>
        <w:trPr>
          <w:tblHeader w:val="true"/>
          <w:cantSplit/>
        </w:trPr>
        <w:tc>
          <w:tcPr>
            <w:tcW w:type="dxa" w:w="1300"/>
            <w:shd w:fill="F2F4F7"/>
            <w:tcMar>
              <w:top w:w="80" w:type="dxa"/>
              <w:start w:w="120" w:type="dxa"/>
              <w:bottom w:w="80" w:type="dxa"/>
              <w:end w:w="120" w:type="dxa"/>
            </w:tcMar>
            <w:vAlign w:val="center"/>
          </w:tcPr>
          <w:p>
            <w:pPr>
              <w:spacing w:after="0"/>
            </w:pPr>
            <w:r>
              <w:rPr>
                <w:rFonts w:ascii="Calibri" w:hAnsi="Calibri"/>
                <w:b/>
                <w:color w:val="0B2545"/>
                <w:sz w:val="16"/>
              </w:rPr>
              <w:t>Column(s)</w:t>
            </w:r>
          </w:p>
        </w:tc>
        <w:tc>
          <w:tcPr>
            <w:tcW w:type="dxa" w:w="3600"/>
            <w:shd w:fill="F2F4F7"/>
            <w:tcMar>
              <w:top w:w="80" w:type="dxa"/>
              <w:start w:w="120" w:type="dxa"/>
              <w:bottom w:w="80" w:type="dxa"/>
              <w:end w:w="120" w:type="dxa"/>
            </w:tcMar>
            <w:vAlign w:val="center"/>
          </w:tcPr>
          <w:p>
            <w:pPr>
              <w:spacing w:after="0"/>
            </w:pPr>
            <w:r>
              <w:rPr>
                <w:rFonts w:ascii="Calibri" w:hAnsi="Calibri"/>
                <w:b/>
                <w:color w:val="0B2545"/>
                <w:sz w:val="16"/>
              </w:rPr>
              <w:t>Live formula pattern</w:t>
            </w:r>
          </w:p>
        </w:tc>
        <w:tc>
          <w:tcPr>
            <w:tcW w:type="dxa" w:w="4460"/>
            <w:shd w:fill="F2F4F7"/>
            <w:tcMar>
              <w:top w:w="80" w:type="dxa"/>
              <w:start w:w="120" w:type="dxa"/>
              <w:bottom w:w="80" w:type="dxa"/>
              <w:end w:w="120" w:type="dxa"/>
            </w:tcMar>
            <w:vAlign w:val="center"/>
          </w:tcPr>
          <w:p>
            <w:pPr>
              <w:spacing w:after="0"/>
            </w:pPr>
            <w:r>
              <w:rPr>
                <w:rFonts w:ascii="Calibri" w:hAnsi="Calibri"/>
                <w:b/>
                <w:color w:val="0B2545"/>
                <w:sz w:val="16"/>
              </w:rPr>
              <w:t>Interpretation</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C</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AVERAGE(D:K)</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Text and blanks ignored; variable component count.</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D</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IFERROR(Q / #REF!, "N/A")</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Broken denominator.</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E</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SUMIF Calculator symbol -&gt; Calculator AB</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Plan annual distribution per share / current price.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F</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SUMIF Calculator symbol -&gt; Calculator X</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Unrealized P&amp;L percentage.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G</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SUMIF Calculator symbol -&gt; Calculator AC</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Most-current annualized distribution per share / price.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O</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R x S</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Consolidated market value.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P</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O / totals-row O</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Visible-subset allocation because denominator is SUBTOTAL.</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Q</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SUMIF Calculator symbol -&gt; Calculator R</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Annual planned distribution per share.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R</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RTD("tos.rtd", "LAST", Symbol)</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Current Thinkorswim price.</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S</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SUMIF Holdings Symbol -&gt; Quantity</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Consolidated open quantity.</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T</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SUMIF Calculator symbol -&gt; Calculator J</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Weighted average unit cost from Calculator.</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U</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R x T</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Verified incorrect Car Value formula.</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V/X/Z/AB</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SUMIFS Holdings Quantity by Symbol and fixed account label</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Account-specific quantities.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W/Y/AA/AC</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Account quantity x R</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Account-specific market values.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Totals row F/G</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SUBTOTAL(101, visible rows)</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Average of visible rows.</w:t>
            </w:r>
          </w:p>
        </w:tc>
      </w:tr>
      <w:tr>
        <w:trPr>
          <w:cantSplit/>
        </w:trPr>
        <w:tc>
          <w:tcPr>
            <w:tcW w:type="dxa" w:w="1300"/>
            <w:tcMar>
              <w:top w:w="80" w:type="dxa"/>
              <w:start w:w="120" w:type="dxa"/>
              <w:bottom w:w="80" w:type="dxa"/>
              <w:end w:w="120" w:type="dxa"/>
            </w:tcMar>
            <w:vAlign w:val="center"/>
          </w:tcPr>
          <w:p>
            <w:pPr>
              <w:spacing w:after="0" w:line="240" w:lineRule="auto"/>
            </w:pPr>
            <w:r>
              <w:rPr>
                <w:rFonts w:ascii="Calibri" w:hAnsi="Calibri"/>
                <w:sz w:val="16"/>
              </w:rPr>
              <w:t>Totals row O/U/W/Y/AA/AC</w:t>
            </w:r>
          </w:p>
        </w:tc>
        <w:tc>
          <w:tcPr>
            <w:tcW w:type="dxa" w:w="3600"/>
            <w:tcMar>
              <w:top w:w="80" w:type="dxa"/>
              <w:start w:w="120" w:type="dxa"/>
              <w:bottom w:w="80" w:type="dxa"/>
              <w:end w:w="120" w:type="dxa"/>
            </w:tcMar>
            <w:vAlign w:val="center"/>
          </w:tcPr>
          <w:p>
            <w:pPr>
              <w:spacing w:after="0" w:line="240" w:lineRule="auto"/>
            </w:pPr>
            <w:r>
              <w:rPr>
                <w:rFonts w:ascii="Calibri" w:hAnsi="Calibri"/>
                <w:sz w:val="16"/>
              </w:rPr>
              <w:t>SUBTOTAL(109, visible rows)</w:t>
            </w:r>
          </w:p>
        </w:tc>
        <w:tc>
          <w:tcPr>
            <w:tcW w:type="dxa" w:w="4460"/>
            <w:tcMar>
              <w:top w:w="80" w:type="dxa"/>
              <w:start w:w="120" w:type="dxa"/>
              <w:bottom w:w="80" w:type="dxa"/>
              <w:end w:w="120" w:type="dxa"/>
            </w:tcMar>
            <w:vAlign w:val="center"/>
          </w:tcPr>
          <w:p>
            <w:pPr>
              <w:spacing w:after="0" w:line="240" w:lineRule="auto"/>
            </w:pPr>
            <w:r>
              <w:rPr>
                <w:rFonts w:ascii="Calibri" w:hAnsi="Calibri"/>
                <w:sz w:val="16"/>
              </w:rPr>
              <w:t>Sum of visible rows.</w:t>
            </w:r>
          </w:p>
        </w:tc>
      </w:tr>
    </w:tbl>
    <w:p>
      <w:pPr>
        <w:spacing w:after="0"/>
      </w:pPr>
    </w:p>
    <w:p>
      <w:pPr>
        <w:pStyle w:val="Heading1"/>
      </w:pPr>
      <w:r>
        <w:t>Appendix B. Current Symbol Population</w:t>
      </w:r>
    </w:p>
    <w:p>
      <w:r>
        <w:rPr>
          <w:rFonts w:ascii="Calibri" w:hAnsi="Calibri"/>
          <w:sz w:val="22"/>
        </w:rPr>
        <w:t>AMDW, AMDY, AMZY, BITO, BTCI, BTC-USD, CEFS, CLM, CONY, CRF, EFC, EPD, ET, GLAD, IGLD, JEPQ, MPLX, MSTY, NFLY, NVDW, ORC, PLTW, QDTE, QDVO, QQQI, QYLD, RDTE, SOXL, SPAXX, SPY, SPYI, SVOL, TOPW, TRIN, TSLL, TSLW, TSPY, XDTE, XPAY, YBTC, YMAX.</w:t>
      </w:r>
    </w:p>
    <w:p>
      <w:r>
        <w:rPr>
          <w:rFonts w:ascii="Arial" w:hAnsi="Arial" w:eastAsia="Arial"/>
          <w:b w:val="0"/>
          <w:i w:val="0"/>
          <w:sz w:val="22"/>
        </w:rPr>
      </w:r>
    </w:p>
    <w:p>
      <w:r>
        <w:rPr>
          <w:rFonts w:ascii="Arial" w:hAnsi="Arial" w:eastAsia="Arial"/>
          <w:b/>
          <w:i w:val="0"/>
          <w:color w:val="1F4E79"/>
          <w:sz w:val="28"/>
        </w:rPr>
        <w:t>APPENDIX — LOCK DISPOSITION (13 Aug 2026)</w:t>
      </w:r>
    </w:p>
    <w:p>
      <w:r>
        <w:rPr>
          <w:rFonts w:ascii="Arial" w:hAnsi="Arial" w:eastAsia="Arial"/>
          <w:b/>
          <w:i w:val="0"/>
          <w:color w:val="006600"/>
          <w:sz w:val="22"/>
        </w:rPr>
        <w:t>Status: LOCKED as authoritative Position Details working foundation for application and schema design.</w:t>
      </w:r>
    </w:p>
    <w:p>
      <w:r>
        <w:rPr>
          <w:rFonts w:ascii="Arial" w:hAnsi="Arial" w:eastAsia="Arial"/>
          <w:b w:val="0"/>
          <w:i/>
          <w:sz w:val="20"/>
        </w:rPr>
        <w:t>Base document: Position-Details-Requirements-v1.2. Owner decisions applied below.</w:t>
      </w:r>
    </w:p>
    <w:p>
      <w:r>
        <w:rPr>
          <w:rFonts w:ascii="Arial" w:hAnsi="Arial" w:eastAsia="Arial"/>
          <w:b/>
          <w:i w:val="0"/>
          <w:sz w:val="24"/>
        </w:rPr>
        <w:t>Owner locks applied</w:t>
      </w:r>
    </w:p>
    <w:p>
      <w:r>
        <w:rPr>
          <w:rFonts w:ascii="Arial" w:hAnsi="Arial" w:eastAsia="Arial"/>
          <w:b w:val="0"/>
          <w:i w:val="0"/>
          <w:sz w:val="20"/>
        </w:rPr>
        <w:t>1. Canonical risk tier label = Risk On (Foundation | Core | Risk On). Live Risk On is preserved. Template_Positions HighRisk maps to Risk On on import.</w:t>
      </w:r>
    </w:p>
    <w:p>
      <w:r>
        <w:rPr>
          <w:rFonts w:ascii="Arial" w:hAnsi="Arial" w:eastAsia="Arial"/>
          <w:b w:val="0"/>
          <w:i w:val="0"/>
          <w:sz w:val="20"/>
        </w:rPr>
        <w:t>2. Original acquisition cost is immutable for performance, YOC, cost-recovery, and cross-position comparison. ROC cash is counted once in total received; ROC must not reduce the economic-cost denominator (PD-BR-11, TR-PD-31–34).</w:t>
      </w:r>
    </w:p>
    <w:p>
      <w:r>
        <w:rPr>
          <w:rFonts w:ascii="Arial" w:hAnsi="Arial" w:eastAsia="Arial"/>
          <w:b w:val="0"/>
          <w:i w:val="0"/>
          <w:sz w:val="20"/>
        </w:rPr>
        <w:t>3. ROC storage for v1 seed: retain locked year fields (roc_pct_2025_actual, roc_pct_2026_estimate, roc_pct_2026_actual, roc_pct_2024_actual) from Template_Positions / ROC field design. PositionTaxCharacterization (tax-year rows) is the preferred evolution path when multi-year history outgrows fixed columns — not a blocker for first load.</w:t>
      </w:r>
    </w:p>
    <w:p>
      <w:r>
        <w:rPr>
          <w:rFonts w:ascii="Arial" w:hAnsi="Arial" w:eastAsia="Arial"/>
          <w:b w:val="0"/>
          <w:i/>
          <w:sz w:val="20"/>
        </w:rPr>
        <w:t>No other business-rule exceptions. Prior Grok Position Details drafts are superseded by this locked v1.2 foundation.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66666"/>
        <w:sz w:val="18"/>
      </w:rPr>
      <w:t>Finance Management Application | Position Details Domain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120"/>
      <w:ind w:left="259"/>
    </w:pPr>
    <w:rPr>
      <w:rFonts w:ascii="Consolas" w:hAnsi="Consolas"/>
      <w:color w:val="0B2545"/>
      <w:sz w:val="18"/>
    </w:rPr>
  </w:style>
  <w:style w:type="paragraph" w:customStyle="1" w:styleId="SmallNote">
    <w:name w:val="Small Note"/>
    <w:pPr>
      <w:spacing w:after="80" w:line="252" w:lineRule="auto"/>
    </w:pPr>
    <w:rPr>
      <w:rFonts w:ascii="Calibri" w:hAnsi="Calibr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Details Domain - Complete Current Architecture and Target Requirements</dc:title>
  <dc:subject>Finance management application Position Details reverse engineering and backtesting design</dc:subject>
  <dc:creator>OpenAI</dc:creator>
  <cp:keywords>Position Details, backtesting, investment decisions, architecture, requirements, formulas</cp:keywords>
  <dc:description>generated by python-docx</dc:description>
  <cp:lastModifiedBy/>
  <cp:revision>1</cp:revision>
  <dcterms:created xsi:type="dcterms:W3CDTF">2013-12-23T23:15:00Z</dcterms:created>
  <dcterms:modified xsi:type="dcterms:W3CDTF">2013-12-23T23:15:00Z</dcterms:modified>
  <cp:category/>
</cp:coreProperties>
</file>