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i w:val="0"/>
          <w:color w:val="0B2545"/>
          <w:sz w:val="46"/>
        </w:rPr>
        <w:t>SHOPPING CART / WHAT-IF</w:t>
      </w:r>
    </w:p>
    <w:p>
      <w:pPr>
        <w:pStyle w:val="Subtitle"/>
      </w:pPr>
      <w:r>
        <w:rPr>
          <w:rFonts w:ascii="Calibri" w:hAnsi="Calibri"/>
          <w:b w:val="0"/>
          <w:i w:val="0"/>
          <w:color w:val="5B6573"/>
          <w:sz w:val="26"/>
        </w:rPr>
        <w:t>Current Architecture, Formula Reconstruction and Complete Target Requirements</w:t>
      </w:r>
    </w:p>
    <w:p>
      <w:pPr>
        <w:spacing w:after="40"/>
      </w:pPr>
      <w:r>
        <w:rPr>
          <w:rFonts w:ascii="Calibri" w:hAnsi="Calibri"/>
          <w:b/>
          <w:i w:val="0"/>
          <w:color w:val="0B2545"/>
          <w:sz w:val="22"/>
        </w:rPr>
        <w:t xml:space="preserve">Status: </w:t>
      </w:r>
      <w:r>
        <w:rPr>
          <w:rFonts w:ascii="Calibri" w:hAnsi="Calibri"/>
          <w:b w:val="0"/>
          <w:i w:val="0"/>
          <w:color w:val="0B2545"/>
          <w:sz w:val="22"/>
        </w:rPr>
        <w:t>DESIGN COMPLETE — approved foundation for implementation</w:t>
      </w:r>
    </w:p>
    <w:p>
      <w:pPr>
        <w:spacing w:after="40"/>
      </w:pPr>
      <w:r>
        <w:rPr>
          <w:rFonts w:ascii="Calibri" w:hAnsi="Calibri"/>
          <w:b/>
          <w:i w:val="0"/>
          <w:color w:val="0B2545"/>
          <w:sz w:val="22"/>
        </w:rPr>
        <w:t xml:space="preserve">Version: </w:t>
      </w:r>
      <w:r>
        <w:rPr>
          <w:rFonts w:ascii="Calibri" w:hAnsi="Calibri"/>
          <w:b w:val="0"/>
          <w:i w:val="0"/>
          <w:color w:val="0B2545"/>
          <w:sz w:val="22"/>
        </w:rPr>
        <w:t>1.0</w:t>
      </w:r>
    </w:p>
    <w:p>
      <w:pPr>
        <w:spacing w:after="40"/>
      </w:pPr>
      <w:r>
        <w:rPr>
          <w:rFonts w:ascii="Calibri" w:hAnsi="Calibri"/>
          <w:b/>
          <w:i w:val="0"/>
          <w:color w:val="0B2545"/>
          <w:sz w:val="22"/>
        </w:rPr>
        <w:t xml:space="preserve">Sources: </w:t>
      </w:r>
      <w:r>
        <w:rPr>
          <w:rFonts w:ascii="Calibri" w:hAnsi="Calibri"/>
          <w:b w:val="0"/>
          <w:i w:val="0"/>
          <w:color w:val="0B2545"/>
          <w:sz w:val="22"/>
        </w:rPr>
        <w:t>2026-tracking spreadseet.xlsb; Shoppingcart tab.docx; approved owner decisions through 14 August 2026</w:t>
      </w:r>
    </w:p>
    <w:p>
      <w:pPr>
        <w:spacing w:after="40"/>
      </w:pPr>
      <w:r>
        <w:rPr>
          <w:rFonts w:ascii="Calibri" w:hAnsi="Calibri"/>
          <w:b/>
          <w:i w:val="0"/>
          <w:color w:val="0B2545"/>
          <w:sz w:val="22"/>
        </w:rPr>
        <w:t xml:space="preserve">Highlighted scope: </w:t>
      </w:r>
      <w:r>
        <w:rPr>
          <w:rFonts w:ascii="Calibri" w:hAnsi="Calibri"/>
          <w:b w:val="0"/>
          <w:i w:val="0"/>
          <w:color w:val="0B2545"/>
          <w:sz w:val="22"/>
        </w:rPr>
        <w:t>New-money decisions; explicit-lot exits; replacement baskets; multi-tranche execution; cumulative swap results; allocation-goal progress</w:t>
      </w:r>
    </w:p>
    <w:p>
      <w:pPr>
        <w:spacing w:after="40"/>
      </w:pPr>
      <w:r>
        <w:rPr>
          <w:rFonts w:ascii="Calibri" w:hAnsi="Calibri"/>
          <w:b/>
          <w:i w:val="0"/>
          <w:color w:val="0B2545"/>
          <w:sz w:val="22"/>
        </w:rPr>
        <w:t xml:space="preserve">Target role: </w:t>
      </w:r>
      <w:r>
        <w:rPr>
          <w:rFonts w:ascii="Calibri" w:hAnsi="Calibri"/>
          <w:b w:val="0"/>
          <w:i w:val="0"/>
          <w:color w:val="0B2545"/>
          <w:sz w:val="22"/>
        </w:rPr>
        <w:t>Governed decision workspace over lots, prices, dividend plans, allocation targets and the Investment Activity Ledger</w:t>
      </w:r>
    </w:p>
    <w:p>
      <w:pPr>
        <w:spacing w:after="20"/>
      </w:pPr>
    </w:p>
    <w:tbl>
      <w:tblPr>
        <w:tblStyle w:val="TableGrid"/>
        <w:tblW w:type="dxa" w:w="9360"/>
        <w:jc w:val="left"/>
        <w:tblLayout w:type="fixed"/>
        <w:tblLook w:firstColumn="1" w:firstRow="1" w:lastColumn="0" w:lastRow="0" w:noHBand="0" w:noVBand="1" w:val="04A0"/>
      </w:tblPr>
      <w:tblGrid>
        <w:gridCol w:w="9360"/>
      </w:tblGrid>
      <w:tr>
        <w:trPr>
          <w:cantSplit/>
        </w:trPr>
        <w:tc>
          <w:tcPr>
            <w:tcW w:type="dxa" w:w="9360"/>
            <w:vAlign w:val="center"/>
            <w:tcMar>
              <w:top w:w="110" w:type="dxa"/>
              <w:bottom w:w="110" w:type="dxa"/>
              <w:start w:w="120" w:type="dxa"/>
              <w:end w:w="120" w:type="dxa"/>
            </w:tcMar>
            <w:shd w:fill="EAF4E2"/>
          </w:tcPr>
          <w:p>
            <w:pPr>
              <w:spacing w:after="0"/>
            </w:pPr>
            <w:r>
              <w:rPr>
                <w:rFonts w:ascii="Calibri" w:hAnsi="Calibri"/>
                <w:b/>
                <w:i w:val="0"/>
                <w:color w:val="315B24"/>
                <w:sz w:val="22"/>
              </w:rPr>
              <w:t xml:space="preserve">Design disposition: </w:t>
            </w:r>
            <w:r>
              <w:rPr>
                <w:rFonts w:ascii="Calibri" w:hAnsi="Calibri"/>
                <w:b w:val="0"/>
                <w:i w:val="0"/>
                <w:color w:val="315B24"/>
                <w:sz w:val="22"/>
              </w:rPr>
              <w:t>The Shopping Cart target design is complete. It preserves the useful spreadsheet what-if calculations while replacing copied blocks, changing column meanings, hardcoded cumulative totals, missing dates and incomplete allocation fields with durable scenarios, explicit lots, approved assumptions, reconciled executions and measurable progress toward account and portfolio allocation goals.</w:t>
            </w:r>
          </w:p>
        </w:tc>
      </w:tr>
    </w:tbl>
    <w:p>
      <w:pPr>
        <w:spacing w:after="20"/>
      </w:pPr>
    </w:p>
    <w:p>
      <w:pPr>
        <w:pStyle w:val="Heading1"/>
      </w:pPr>
      <w:r>
        <w:t>1. Business Purpose and Architecture Boundary</w:t>
      </w:r>
    </w:p>
    <w:p>
      <w:r>
        <w:rPr>
          <w:rFonts w:ascii="Calibri" w:hAnsi="Calibri"/>
          <w:b w:val="0"/>
          <w:i w:val="0"/>
          <w:color w:val="0B2545"/>
          <w:sz w:val="22"/>
        </w:rPr>
        <w:t>The Shopping Cart is the application’s pre-trade decision and post-trade accountability workspace. It answers how to invest new money, whether an existing position or specific lots should be exited, what replacement basket is preferred, how income and principal exposure change, and whether the decision moves the affected account and total portfolio toward allocation goals.</w:t>
      </w:r>
    </w:p>
    <w:p>
      <w:r>
        <w:rPr>
          <w:rFonts w:ascii="Calibri" w:hAnsi="Calibri"/>
          <w:b w:val="0"/>
          <w:i w:val="0"/>
          <w:color w:val="0B2545"/>
          <w:sz w:val="22"/>
        </w:rPr>
        <w:t>It does not independently own prices, dividend declarations, lots, transactions, tier classifications or allocation targets. It consumes governed data, preserves a dated snapshot of every assumption used for a decision, and links approved plans to actual transaction events. It may recommend; it never autonomously trades.</w:t>
      </w:r>
    </w:p>
    <w:tbl>
      <w:tblPr>
        <w:tblStyle w:val="TableGrid"/>
        <w:tblW w:type="dxa" w:w="9360"/>
        <w:jc w:val="left"/>
        <w:tblLayout w:type="fixed"/>
        <w:tblLook w:firstColumn="1" w:firstRow="1" w:lastColumn="0" w:lastRow="0" w:noHBand="0" w:noVBand="1" w:val="04A0"/>
      </w:tblPr>
      <w:tblGrid>
        <w:gridCol w:w="9360"/>
      </w:tblGrid>
      <w:tr>
        <w:trPr>
          <w:cantSplit/>
        </w:trPr>
        <w:tc>
          <w:tcPr>
            <w:tcW w:type="dxa" w:w="9360"/>
            <w:vAlign w:val="center"/>
            <w:tcMar>
              <w:top w:w="110" w:type="dxa"/>
              <w:bottom w:w="110" w:type="dxa"/>
              <w:start w:w="120" w:type="dxa"/>
              <w:end w:w="120" w:type="dxa"/>
            </w:tcMar>
            <w:shd w:fill="E8EEF5"/>
          </w:tcPr>
          <w:p>
            <w:pPr>
              <w:spacing w:after="0"/>
            </w:pPr>
            <w:r>
              <w:rPr>
                <w:rFonts w:ascii="Calibri" w:hAnsi="Calibri"/>
                <w:b/>
                <w:i w:val="0"/>
                <w:color w:val="1F4D78"/>
                <w:sz w:val="22"/>
              </w:rPr>
              <w:t xml:space="preserve">Investment priorities: </w:t>
            </w:r>
            <w:r>
              <w:rPr>
                <w:rFonts w:ascii="Calibri" w:hAnsi="Calibri"/>
                <w:b w:val="0"/>
                <w:i w:val="0"/>
                <w:color w:val="1F4D78"/>
                <w:sz w:val="22"/>
              </w:rPr>
              <w:t>Reliable dividend income is the primary objective and principal preservation is second. Allocation progress, NAV behavior, backtesting analysis, concentration, realized gain/loss, account tax treatment and remaining cash are explicit decision evidence—not substitutes for owner approval.</w:t>
            </w:r>
          </w:p>
        </w:tc>
      </w:tr>
    </w:tbl>
    <w:p>
      <w:pPr>
        <w:spacing w:after="20"/>
      </w:pPr>
    </w:p>
    <w:p>
      <w:pPr>
        <w:pStyle w:val="Heading1"/>
      </w:pPr>
      <w:r>
        <w:t>2. Highlighted Spreadsheet Areas</w:t>
      </w:r>
    </w:p>
    <w:tbl>
      <w:tblPr>
        <w:tblStyle w:val="TableGrid"/>
        <w:tblW w:type="dxa" w:w="9360"/>
        <w:jc w:val="left"/>
        <w:tblLayout w:type="fixed"/>
        <w:tblLook w:firstColumn="1" w:firstRow="1" w:lastColumn="0" w:lastRow="0" w:noHBand="0" w:noVBand="1" w:val="04A0"/>
      </w:tblPr>
      <w:tblGrid>
        <w:gridCol w:w="700"/>
        <w:gridCol w:w="1000"/>
        <w:gridCol w:w="3550"/>
        <w:gridCol w:w="4110"/>
      </w:tblGrid>
      <w:tr>
        <w:trPr>
          <w:tblHeader w:val="true"/>
          <w:cantSplit/>
        </w:trPr>
        <w:tc>
          <w:tcPr>
            <w:tcW w:type="dxa" w:w="700"/>
            <w:shd w:fill="F2F4F7"/>
            <w:vAlign w:val="center"/>
            <w:tcMar>
              <w:top w:w="70" w:type="dxa"/>
              <w:bottom w:w="70" w:type="dxa"/>
              <w:start w:w="100" w:type="dxa"/>
              <w:end w:w="100" w:type="dxa"/>
            </w:tcMar>
          </w:tcPr>
          <w:p>
            <w:pPr>
              <w:spacing w:after="0"/>
            </w:pPr>
            <w:r>
              <w:rPr>
                <w:rFonts w:ascii="Calibri" w:hAnsi="Calibri"/>
                <w:b/>
                <w:i w:val="0"/>
                <w:color w:val="0B2545"/>
                <w:sz w:val="16"/>
              </w:rPr>
              <w:t>Section</w:t>
            </w:r>
          </w:p>
        </w:tc>
        <w:tc>
          <w:tcPr>
            <w:tcW w:type="dxa" w:w="1000"/>
            <w:shd w:fill="F2F4F7"/>
            <w:vAlign w:val="center"/>
            <w:tcMar>
              <w:top w:w="70" w:type="dxa"/>
              <w:bottom w:w="70" w:type="dxa"/>
              <w:start w:w="100" w:type="dxa"/>
              <w:end w:w="100" w:type="dxa"/>
            </w:tcMar>
          </w:tcPr>
          <w:p>
            <w:pPr>
              <w:spacing w:after="0"/>
            </w:pPr>
            <w:r>
              <w:rPr>
                <w:rFonts w:ascii="Calibri" w:hAnsi="Calibri"/>
                <w:b/>
                <w:i w:val="0"/>
                <w:color w:val="0B2545"/>
                <w:sz w:val="16"/>
              </w:rPr>
              <w:t>Legacy rows</w:t>
            </w:r>
          </w:p>
        </w:tc>
        <w:tc>
          <w:tcPr>
            <w:tcW w:type="dxa" w:w="3550"/>
            <w:shd w:fill="F2F4F7"/>
            <w:vAlign w:val="center"/>
            <w:tcMar>
              <w:top w:w="70" w:type="dxa"/>
              <w:bottom w:w="70" w:type="dxa"/>
              <w:start w:w="100" w:type="dxa"/>
              <w:end w:w="100" w:type="dxa"/>
            </w:tcMar>
          </w:tcPr>
          <w:p>
            <w:pPr>
              <w:spacing w:after="0"/>
            </w:pPr>
            <w:r>
              <w:rPr>
                <w:rFonts w:ascii="Calibri" w:hAnsi="Calibri"/>
                <w:b/>
                <w:i w:val="0"/>
                <w:color w:val="0B2545"/>
                <w:sz w:val="16"/>
              </w:rPr>
              <w:t>Observed business use</w:t>
            </w:r>
          </w:p>
        </w:tc>
        <w:tc>
          <w:tcPr>
            <w:tcW w:type="dxa" w:w="4110"/>
            <w:shd w:fill="F2F4F7"/>
            <w:vAlign w:val="center"/>
            <w:tcMar>
              <w:top w:w="70" w:type="dxa"/>
              <w:bottom w:w="70" w:type="dxa"/>
              <w:start w:w="100" w:type="dxa"/>
              <w:end w:w="100" w:type="dxa"/>
            </w:tcMar>
          </w:tcPr>
          <w:p>
            <w:pPr>
              <w:spacing w:after="0"/>
            </w:pPr>
            <w:r>
              <w:rPr>
                <w:rFonts w:ascii="Calibri" w:hAnsi="Calibri"/>
                <w:b/>
                <w:i w:val="0"/>
                <w:color w:val="0B2545"/>
                <w:sz w:val="16"/>
              </w:rPr>
              <w:t>Target treatment</w:t>
            </w:r>
          </w:p>
        </w:tc>
      </w:tr>
      <w:tr>
        <w:trPr>
          <w:cantSplit/>
        </w:trPr>
        <w:tc>
          <w:tcPr>
            <w:tcW w:type="dxa" w:w="700"/>
            <w:vAlign w:val="center"/>
            <w:tcMar>
              <w:top w:w="70" w:type="dxa"/>
              <w:bottom w:w="70" w:type="dxa"/>
              <w:start w:w="100" w:type="dxa"/>
              <w:end w:w="100" w:type="dxa"/>
            </w:tcMar>
          </w:tcPr>
          <w:p>
            <w:pPr>
              <w:spacing w:after="0" w:line="247" w:lineRule="auto"/>
            </w:pPr>
            <w:r>
              <w:rPr>
                <w:rFonts w:ascii="Calibri" w:hAnsi="Calibri"/>
                <w:b w:val="0"/>
                <w:i w:val="0"/>
                <w:color w:val="0B2545"/>
                <w:sz w:val="16"/>
              </w:rPr>
              <w:t>1</w:t>
            </w:r>
          </w:p>
        </w:tc>
        <w:tc>
          <w:tcPr>
            <w:tcW w:type="dxa" w:w="1000"/>
            <w:vAlign w:val="center"/>
            <w:tcMar>
              <w:top w:w="70" w:type="dxa"/>
              <w:bottom w:w="70" w:type="dxa"/>
              <w:start w:w="100" w:type="dxa"/>
              <w:end w:w="100" w:type="dxa"/>
            </w:tcMar>
          </w:tcPr>
          <w:p>
            <w:pPr>
              <w:spacing w:after="0" w:line="247" w:lineRule="auto"/>
            </w:pPr>
            <w:r>
              <w:rPr>
                <w:rFonts w:ascii="Calibri" w:hAnsi="Calibri"/>
                <w:b w:val="0"/>
                <w:i w:val="0"/>
                <w:color w:val="0B2545"/>
                <w:sz w:val="16"/>
              </w:rPr>
              <w:t>183–197</w:t>
            </w:r>
          </w:p>
        </w:tc>
        <w:tc>
          <w:tcPr>
            <w:tcW w:type="dxa" w:w="3550"/>
            <w:vAlign w:val="center"/>
            <w:tcMar>
              <w:top w:w="70" w:type="dxa"/>
              <w:bottom w:w="70" w:type="dxa"/>
              <w:start w:w="100" w:type="dxa"/>
              <w:end w:w="100" w:type="dxa"/>
            </w:tcMar>
          </w:tcPr>
          <w:p>
            <w:pPr>
              <w:spacing w:after="0" w:line="247" w:lineRule="auto"/>
            </w:pPr>
            <w:r>
              <w:rPr>
                <w:rFonts w:ascii="Calibri" w:hAnsi="Calibri"/>
                <w:b w:val="0"/>
                <w:i w:val="0"/>
                <w:color w:val="0B2545"/>
                <w:sz w:val="16"/>
              </w:rPr>
              <w:t>Two completed new-money purchases: Income account TOPW and Roth PLTW. Green indicates executed.</w:t>
            </w:r>
          </w:p>
        </w:tc>
        <w:tc>
          <w:tcPr>
            <w:tcW w:type="dxa" w:w="4110"/>
            <w:vAlign w:val="center"/>
            <w:tcMar>
              <w:top w:w="70" w:type="dxa"/>
              <w:bottom w:w="70" w:type="dxa"/>
              <w:start w:w="100" w:type="dxa"/>
              <w:end w:w="100" w:type="dxa"/>
            </w:tcMar>
          </w:tcPr>
          <w:p>
            <w:pPr>
              <w:spacing w:after="0" w:line="247" w:lineRule="auto"/>
            </w:pPr>
            <w:r>
              <w:rPr>
                <w:rFonts w:ascii="Calibri" w:hAnsi="Calibri"/>
                <w:b w:val="0"/>
                <w:i w:val="0"/>
                <w:color w:val="0B2545"/>
                <w:sz w:val="16"/>
              </w:rPr>
              <w:t>Two scenarios with account, funding source, approval, execution and completed status.</w:t>
            </w:r>
          </w:p>
        </w:tc>
      </w:tr>
      <w:tr>
        <w:trPr>
          <w:cantSplit/>
        </w:trPr>
        <w:tc>
          <w:tcPr>
            <w:tcW w:type="dxa" w:w="700"/>
            <w:vAlign w:val="center"/>
            <w:tcMar>
              <w:top w:w="70" w:type="dxa"/>
              <w:bottom w:w="70" w:type="dxa"/>
              <w:start w:w="100" w:type="dxa"/>
              <w:end w:w="100" w:type="dxa"/>
            </w:tcMar>
          </w:tcPr>
          <w:p>
            <w:pPr>
              <w:spacing w:after="0" w:line="247" w:lineRule="auto"/>
            </w:pPr>
            <w:r>
              <w:rPr>
                <w:rFonts w:ascii="Calibri" w:hAnsi="Calibri"/>
                <w:b w:val="0"/>
                <w:i w:val="0"/>
                <w:color w:val="0B2545"/>
                <w:sz w:val="16"/>
              </w:rPr>
              <w:t>2</w:t>
            </w:r>
          </w:p>
        </w:tc>
        <w:tc>
          <w:tcPr>
            <w:tcW w:type="dxa" w:w="1000"/>
            <w:vAlign w:val="center"/>
            <w:tcMar>
              <w:top w:w="70" w:type="dxa"/>
              <w:bottom w:w="70" w:type="dxa"/>
              <w:start w:w="100" w:type="dxa"/>
              <w:end w:w="100" w:type="dxa"/>
            </w:tcMar>
          </w:tcPr>
          <w:p>
            <w:pPr>
              <w:spacing w:after="0" w:line="247" w:lineRule="auto"/>
            </w:pPr>
            <w:r>
              <w:rPr>
                <w:rFonts w:ascii="Calibri" w:hAnsi="Calibri"/>
                <w:b w:val="0"/>
                <w:i w:val="0"/>
                <w:color w:val="0B2545"/>
                <w:sz w:val="16"/>
              </w:rPr>
              <w:t>286–311</w:t>
            </w:r>
          </w:p>
        </w:tc>
        <w:tc>
          <w:tcPr>
            <w:tcW w:type="dxa" w:w="3550"/>
            <w:vAlign w:val="center"/>
            <w:tcMar>
              <w:top w:w="70" w:type="dxa"/>
              <w:bottom w:w="70" w:type="dxa"/>
              <w:start w:w="100" w:type="dxa"/>
              <w:end w:w="100" w:type="dxa"/>
            </w:tcMar>
          </w:tcPr>
          <w:p>
            <w:pPr>
              <w:spacing w:after="0" w:line="247" w:lineRule="auto"/>
            </w:pPr>
            <w:r>
              <w:rPr>
                <w:rFonts w:ascii="Calibri" w:hAnsi="Calibri"/>
                <w:b w:val="0"/>
                <w:i w:val="0"/>
                <w:color w:val="0B2545"/>
                <w:sz w:val="16"/>
              </w:rPr>
              <w:t>Exit 117 EPD shares and redeploy proceeds through four A–D tranches.</w:t>
            </w:r>
          </w:p>
        </w:tc>
        <w:tc>
          <w:tcPr>
            <w:tcW w:type="dxa" w:w="4110"/>
            <w:vAlign w:val="center"/>
            <w:tcMar>
              <w:top w:w="70" w:type="dxa"/>
              <w:bottom w:w="70" w:type="dxa"/>
              <w:start w:w="100" w:type="dxa"/>
              <w:end w:w="100" w:type="dxa"/>
            </w:tcMar>
          </w:tcPr>
          <w:p>
            <w:pPr>
              <w:spacing w:after="0" w:line="247" w:lineRule="auto"/>
            </w:pPr>
            <w:r>
              <w:rPr>
                <w:rFonts w:ascii="Calibri" w:hAnsi="Calibri"/>
                <w:b w:val="0"/>
                <w:i w:val="0"/>
                <w:color w:val="0B2545"/>
                <w:sz w:val="16"/>
              </w:rPr>
              <w:t>One swap scenario, explicit sale lots, thirteen purchase lines, four execution tranches and reconciliation.</w:t>
            </w:r>
          </w:p>
        </w:tc>
      </w:tr>
      <w:tr>
        <w:trPr>
          <w:cantSplit/>
        </w:trPr>
        <w:tc>
          <w:tcPr>
            <w:tcW w:type="dxa" w:w="700"/>
            <w:vAlign w:val="center"/>
            <w:tcMar>
              <w:top w:w="70" w:type="dxa"/>
              <w:bottom w:w="70" w:type="dxa"/>
              <w:start w:w="100" w:type="dxa"/>
              <w:end w:w="100" w:type="dxa"/>
            </w:tcMar>
          </w:tcPr>
          <w:p>
            <w:pPr>
              <w:spacing w:after="0" w:line="247" w:lineRule="auto"/>
            </w:pPr>
            <w:r>
              <w:rPr>
                <w:rFonts w:ascii="Calibri" w:hAnsi="Calibri"/>
                <w:b w:val="0"/>
                <w:i w:val="0"/>
                <w:color w:val="0B2545"/>
                <w:sz w:val="16"/>
              </w:rPr>
              <w:t>3</w:t>
            </w:r>
          </w:p>
        </w:tc>
        <w:tc>
          <w:tcPr>
            <w:tcW w:type="dxa" w:w="1000"/>
            <w:vAlign w:val="center"/>
            <w:tcMar>
              <w:top w:w="70" w:type="dxa"/>
              <w:bottom w:w="70" w:type="dxa"/>
              <w:start w:w="100" w:type="dxa"/>
              <w:end w:w="100" w:type="dxa"/>
            </w:tcMar>
          </w:tcPr>
          <w:p>
            <w:pPr>
              <w:spacing w:after="0" w:line="247" w:lineRule="auto"/>
            </w:pPr>
            <w:r>
              <w:rPr>
                <w:rFonts w:ascii="Calibri" w:hAnsi="Calibri"/>
                <w:b w:val="0"/>
                <w:i w:val="0"/>
                <w:color w:val="0B2545"/>
                <w:sz w:val="16"/>
              </w:rPr>
              <w:t>48–64</w:t>
            </w:r>
          </w:p>
        </w:tc>
        <w:tc>
          <w:tcPr>
            <w:tcW w:type="dxa" w:w="3550"/>
            <w:vAlign w:val="center"/>
            <w:tcMar>
              <w:top w:w="70" w:type="dxa"/>
              <w:bottom w:w="70" w:type="dxa"/>
              <w:start w:w="100" w:type="dxa"/>
              <w:end w:w="100" w:type="dxa"/>
            </w:tcMar>
          </w:tcPr>
          <w:p>
            <w:pPr>
              <w:spacing w:after="0" w:line="247" w:lineRule="auto"/>
            </w:pPr>
            <w:r>
              <w:rPr>
                <w:rFonts w:ascii="Calibri" w:hAnsi="Calibri"/>
                <w:b w:val="0"/>
                <w:i w:val="0"/>
                <w:color w:val="0B2545"/>
                <w:sz w:val="16"/>
              </w:rPr>
              <w:t>Unexecuted QYLD exit/replacement plan with selected lots and a proposed basket.</w:t>
            </w:r>
          </w:p>
        </w:tc>
        <w:tc>
          <w:tcPr>
            <w:tcW w:type="dxa" w:w="4110"/>
            <w:vAlign w:val="center"/>
            <w:tcMar>
              <w:top w:w="70" w:type="dxa"/>
              <w:bottom w:w="70" w:type="dxa"/>
              <w:start w:w="100" w:type="dxa"/>
              <w:end w:w="100" w:type="dxa"/>
            </w:tcMar>
          </w:tcPr>
          <w:p>
            <w:pPr>
              <w:spacing w:after="0" w:line="247" w:lineRule="auto"/>
            </w:pPr>
            <w:r>
              <w:rPr>
                <w:rFonts w:ascii="Calibri" w:hAnsi="Calibri"/>
                <w:b w:val="0"/>
                <w:i w:val="0"/>
                <w:color w:val="0B2545"/>
                <w:sz w:val="16"/>
              </w:rPr>
              <w:t>Draft scenario retained without affecting holdings, Income Plan or ROI until execution.</w:t>
            </w:r>
          </w:p>
        </w:tc>
      </w:tr>
      <w:tr>
        <w:trPr>
          <w:cantSplit/>
        </w:trPr>
        <w:tc>
          <w:tcPr>
            <w:tcW w:type="dxa" w:w="700"/>
            <w:vAlign w:val="center"/>
            <w:tcMar>
              <w:top w:w="70" w:type="dxa"/>
              <w:bottom w:w="70" w:type="dxa"/>
              <w:start w:w="100" w:type="dxa"/>
              <w:end w:w="100" w:type="dxa"/>
            </w:tcMar>
          </w:tcPr>
          <w:p>
            <w:pPr>
              <w:spacing w:after="0" w:line="247" w:lineRule="auto"/>
            </w:pPr>
            <w:r>
              <w:rPr>
                <w:rFonts w:ascii="Calibri" w:hAnsi="Calibri"/>
                <w:b w:val="0"/>
                <w:i w:val="0"/>
                <w:color w:val="0B2545"/>
                <w:sz w:val="16"/>
              </w:rPr>
              <w:t>4</w:t>
            </w:r>
          </w:p>
        </w:tc>
        <w:tc>
          <w:tcPr>
            <w:tcW w:type="dxa" w:w="1000"/>
            <w:vAlign w:val="center"/>
            <w:tcMar>
              <w:top w:w="70" w:type="dxa"/>
              <w:bottom w:w="70" w:type="dxa"/>
              <w:start w:w="100" w:type="dxa"/>
              <w:end w:w="100" w:type="dxa"/>
            </w:tcMar>
          </w:tcPr>
          <w:p>
            <w:pPr>
              <w:spacing w:after="0" w:line="247" w:lineRule="auto"/>
            </w:pPr>
            <w:r>
              <w:rPr>
                <w:rFonts w:ascii="Calibri" w:hAnsi="Calibri"/>
                <w:b w:val="0"/>
                <w:i w:val="0"/>
                <w:color w:val="0B2545"/>
                <w:sz w:val="16"/>
              </w:rPr>
              <w:t>84–100</w:t>
            </w:r>
          </w:p>
        </w:tc>
        <w:tc>
          <w:tcPr>
            <w:tcW w:type="dxa" w:w="3550"/>
            <w:vAlign w:val="center"/>
            <w:tcMar>
              <w:top w:w="70" w:type="dxa"/>
              <w:bottom w:w="70" w:type="dxa"/>
              <w:start w:w="100" w:type="dxa"/>
              <w:end w:w="100" w:type="dxa"/>
            </w:tcMar>
          </w:tcPr>
          <w:p>
            <w:pPr>
              <w:spacing w:after="0" w:line="247" w:lineRule="auto"/>
            </w:pPr>
            <w:r>
              <w:rPr>
                <w:rFonts w:ascii="Calibri" w:hAnsi="Calibri"/>
                <w:b w:val="0"/>
                <w:i w:val="0"/>
                <w:color w:val="0B2545"/>
                <w:sz w:val="16"/>
              </w:rPr>
              <w:t>Cumulative completed-swap metrics and a Roth boost purchase.</w:t>
            </w:r>
          </w:p>
        </w:tc>
        <w:tc>
          <w:tcPr>
            <w:tcW w:type="dxa" w:w="4110"/>
            <w:vAlign w:val="center"/>
            <w:tcMar>
              <w:top w:w="70" w:type="dxa"/>
              <w:bottom w:w="70" w:type="dxa"/>
              <w:start w:w="100" w:type="dxa"/>
              <w:end w:w="100" w:type="dxa"/>
            </w:tcMar>
          </w:tcPr>
          <w:p>
            <w:pPr>
              <w:spacing w:after="0" w:line="247" w:lineRule="auto"/>
            </w:pPr>
            <w:r>
              <w:rPr>
                <w:rFonts w:ascii="Calibri" w:hAnsi="Calibri"/>
                <w:b w:val="0"/>
                <w:i w:val="0"/>
                <w:color w:val="0B2545"/>
                <w:sz w:val="16"/>
              </w:rPr>
              <w:t>Ledger-derived cumulative reporting plus a separate Roth new-money scenario.</w:t>
            </w:r>
          </w:p>
        </w:tc>
      </w:tr>
    </w:tbl>
    <w:p>
      <w:pPr>
        <w:spacing w:after="20"/>
      </w:pPr>
    </w:p>
    <w:p>
      <w:pPr>
        <w:pStyle w:val="Heading1"/>
      </w:pPr>
      <w:r>
        <w:t>3. Recurring As-Is Scenario Layout</w:t>
      </w:r>
    </w:p>
    <w:tbl>
      <w:tblPr>
        <w:tblStyle w:val="TableGrid"/>
        <w:tblW w:type="dxa" w:w="9360"/>
        <w:jc w:val="left"/>
        <w:tblLayout w:type="fixed"/>
        <w:tblLook w:firstColumn="1" w:firstRow="1" w:lastColumn="0" w:lastRow="0" w:noHBand="0" w:noVBand="1" w:val="04A0"/>
      </w:tblPr>
      <w:tblGrid>
        <w:gridCol w:w="1350"/>
        <w:gridCol w:w="1300"/>
        <w:gridCol w:w="6710"/>
      </w:tblGrid>
      <w:tr>
        <w:trPr>
          <w:tblHeader w:val="true"/>
          <w:cantSplit/>
        </w:trPr>
        <w:tc>
          <w:tcPr>
            <w:tcW w:type="dxa" w:w="1350"/>
            <w:shd w:fill="F2F4F7"/>
            <w:vAlign w:val="center"/>
            <w:tcMar>
              <w:top w:w="70" w:type="dxa"/>
              <w:bottom w:w="70" w:type="dxa"/>
              <w:start w:w="100" w:type="dxa"/>
              <w:end w:w="100" w:type="dxa"/>
            </w:tcMar>
          </w:tcPr>
          <w:p>
            <w:pPr>
              <w:spacing w:after="0"/>
            </w:pPr>
            <w:r>
              <w:rPr>
                <w:rFonts w:ascii="Calibri" w:hAnsi="Calibri"/>
                <w:b/>
                <w:i w:val="0"/>
                <w:color w:val="0B2545"/>
                <w:sz w:val="16"/>
              </w:rPr>
              <w:t>Area</w:t>
            </w:r>
          </w:p>
        </w:tc>
        <w:tc>
          <w:tcPr>
            <w:tcW w:type="dxa" w:w="1300"/>
            <w:shd w:fill="F2F4F7"/>
            <w:vAlign w:val="center"/>
            <w:tcMar>
              <w:top w:w="70" w:type="dxa"/>
              <w:bottom w:w="70" w:type="dxa"/>
              <w:start w:w="100" w:type="dxa"/>
              <w:end w:w="100" w:type="dxa"/>
            </w:tcMar>
          </w:tcPr>
          <w:p>
            <w:pPr>
              <w:spacing w:after="0"/>
            </w:pPr>
            <w:r>
              <w:rPr>
                <w:rFonts w:ascii="Calibri" w:hAnsi="Calibri"/>
                <w:b/>
                <w:i w:val="0"/>
                <w:color w:val="0B2545"/>
                <w:sz w:val="16"/>
              </w:rPr>
              <w:t>Legacy columns</w:t>
            </w:r>
          </w:p>
        </w:tc>
        <w:tc>
          <w:tcPr>
            <w:tcW w:type="dxa" w:w="6710"/>
            <w:shd w:fill="F2F4F7"/>
            <w:vAlign w:val="center"/>
            <w:tcMar>
              <w:top w:w="70" w:type="dxa"/>
              <w:bottom w:w="70" w:type="dxa"/>
              <w:start w:w="100" w:type="dxa"/>
              <w:end w:w="100" w:type="dxa"/>
            </w:tcMar>
          </w:tcPr>
          <w:p>
            <w:pPr>
              <w:spacing w:after="0"/>
            </w:pPr>
            <w:r>
              <w:rPr>
                <w:rFonts w:ascii="Calibri" w:hAnsi="Calibri"/>
                <w:b/>
                <w:i w:val="0"/>
                <w:color w:val="0B2545"/>
                <w:sz w:val="16"/>
              </w:rPr>
              <w:t>Reconstructed meaning</w:t>
            </w:r>
          </w:p>
        </w:tc>
      </w:tr>
      <w:tr>
        <w:trPr>
          <w:cantSplit/>
        </w:trPr>
        <w:tc>
          <w:tcPr>
            <w:tcW w:type="dxa" w:w="1350"/>
            <w:vAlign w:val="center"/>
            <w:tcMar>
              <w:top w:w="70" w:type="dxa"/>
              <w:bottom w:w="70" w:type="dxa"/>
              <w:start w:w="100" w:type="dxa"/>
              <w:end w:w="100" w:type="dxa"/>
            </w:tcMar>
          </w:tcPr>
          <w:p>
            <w:pPr>
              <w:spacing w:after="0" w:line="247" w:lineRule="auto"/>
            </w:pPr>
            <w:r>
              <w:rPr>
                <w:rFonts w:ascii="Calibri" w:hAnsi="Calibri"/>
                <w:b w:val="0"/>
                <w:i w:val="0"/>
                <w:color w:val="0B2545"/>
                <w:sz w:val="16"/>
              </w:rPr>
              <w:t>Purpose</w:t>
            </w:r>
          </w:p>
        </w:tc>
        <w:tc>
          <w:tcPr>
            <w:tcW w:type="dxa" w:w="1300"/>
            <w:vAlign w:val="center"/>
            <w:tcMar>
              <w:top w:w="70" w:type="dxa"/>
              <w:bottom w:w="70" w:type="dxa"/>
              <w:start w:w="100" w:type="dxa"/>
              <w:end w:w="100" w:type="dxa"/>
            </w:tcMar>
          </w:tcPr>
          <w:p>
            <w:pPr>
              <w:spacing w:after="0" w:line="247" w:lineRule="auto"/>
            </w:pPr>
            <w:r>
              <w:rPr>
                <w:rFonts w:ascii="Calibri" w:hAnsi="Calibri"/>
                <w:b w:val="0"/>
                <w:i w:val="0"/>
                <w:color w:val="0B2545"/>
                <w:sz w:val="16"/>
              </w:rPr>
              <w:t>B–K header</w:t>
            </w:r>
          </w:p>
        </w:tc>
        <w:tc>
          <w:tcPr>
            <w:tcW w:type="dxa" w:w="6710"/>
            <w:vAlign w:val="center"/>
            <w:tcMar>
              <w:top w:w="70" w:type="dxa"/>
              <w:bottom w:w="70" w:type="dxa"/>
              <w:start w:w="100" w:type="dxa"/>
              <w:end w:w="100" w:type="dxa"/>
            </w:tcMar>
          </w:tcPr>
          <w:p>
            <w:pPr>
              <w:spacing w:after="0" w:line="247" w:lineRule="auto"/>
            </w:pPr>
            <w:r>
              <w:rPr>
                <w:rFonts w:ascii="Calibri" w:hAnsi="Calibri"/>
                <w:b w:val="0"/>
                <w:i w:val="0"/>
                <w:color w:val="0B2545"/>
                <w:sz w:val="16"/>
              </w:rPr>
              <w:t>Decision purpose and intended Income/Growth/Foundation/Core/Risk On emphasis. Most classification fields were left blank.</w:t>
            </w:r>
          </w:p>
        </w:tc>
      </w:tr>
      <w:tr>
        <w:trPr>
          <w:cantSplit/>
        </w:trPr>
        <w:tc>
          <w:tcPr>
            <w:tcW w:type="dxa" w:w="1350"/>
            <w:vAlign w:val="center"/>
            <w:tcMar>
              <w:top w:w="70" w:type="dxa"/>
              <w:bottom w:w="70" w:type="dxa"/>
              <w:start w:w="100" w:type="dxa"/>
              <w:end w:w="100" w:type="dxa"/>
            </w:tcMar>
          </w:tcPr>
          <w:p>
            <w:pPr>
              <w:spacing w:after="0" w:line="247" w:lineRule="auto"/>
            </w:pPr>
            <w:r>
              <w:rPr>
                <w:rFonts w:ascii="Calibri" w:hAnsi="Calibri"/>
                <w:b w:val="0"/>
                <w:i w:val="0"/>
                <w:color w:val="0B2545"/>
                <w:sz w:val="16"/>
              </w:rPr>
              <w:t>Funding or sale lots</w:t>
            </w:r>
          </w:p>
        </w:tc>
        <w:tc>
          <w:tcPr>
            <w:tcW w:type="dxa" w:w="1300"/>
            <w:vAlign w:val="center"/>
            <w:tcMar>
              <w:top w:w="70" w:type="dxa"/>
              <w:bottom w:w="70" w:type="dxa"/>
              <w:start w:w="100" w:type="dxa"/>
              <w:end w:w="100" w:type="dxa"/>
            </w:tcMar>
          </w:tcPr>
          <w:p>
            <w:pPr>
              <w:spacing w:after="0" w:line="247" w:lineRule="auto"/>
            </w:pPr>
            <w:r>
              <w:rPr>
                <w:rFonts w:ascii="Calibri" w:hAnsi="Calibri"/>
                <w:b w:val="0"/>
                <w:i w:val="0"/>
                <w:color w:val="0B2545"/>
                <w:sz w:val="16"/>
              </w:rPr>
              <w:t>B–K</w:t>
            </w:r>
          </w:p>
        </w:tc>
        <w:tc>
          <w:tcPr>
            <w:tcW w:type="dxa" w:w="6710"/>
            <w:vAlign w:val="center"/>
            <w:tcMar>
              <w:top w:w="70" w:type="dxa"/>
              <w:bottom w:w="70" w:type="dxa"/>
              <w:start w:w="100" w:type="dxa"/>
              <w:end w:w="100" w:type="dxa"/>
            </w:tcMar>
          </w:tcPr>
          <w:p>
            <w:pPr>
              <w:spacing w:after="0" w:line="247" w:lineRule="auto"/>
            </w:pPr>
            <w:r>
              <w:rPr>
                <w:rFonts w:ascii="Calibri" w:hAnsi="Calibri"/>
                <w:b w:val="0"/>
                <w:i w:val="0"/>
                <w:color w:val="0B2545"/>
                <w:sz w:val="16"/>
              </w:rPr>
              <w:t>Purpose/account hint, symbol, acquisition date, quantity, original unit price, original cost, current/sale price, proceeds/current value, gain/loss and/or income surrendered.</w:t>
            </w:r>
          </w:p>
        </w:tc>
      </w:tr>
      <w:tr>
        <w:trPr>
          <w:cantSplit/>
        </w:trPr>
        <w:tc>
          <w:tcPr>
            <w:tcW w:type="dxa" w:w="1350"/>
            <w:vAlign w:val="center"/>
            <w:tcMar>
              <w:top w:w="70" w:type="dxa"/>
              <w:bottom w:w="70" w:type="dxa"/>
              <w:start w:w="100" w:type="dxa"/>
              <w:end w:w="100" w:type="dxa"/>
            </w:tcMar>
          </w:tcPr>
          <w:p>
            <w:pPr>
              <w:spacing w:after="0" w:line="247" w:lineRule="auto"/>
            </w:pPr>
            <w:r>
              <w:rPr>
                <w:rFonts w:ascii="Calibri" w:hAnsi="Calibri"/>
                <w:b w:val="0"/>
                <w:i w:val="0"/>
                <w:color w:val="0B2545"/>
                <w:sz w:val="16"/>
              </w:rPr>
              <w:t>Replacement basket</w:t>
            </w:r>
          </w:p>
        </w:tc>
        <w:tc>
          <w:tcPr>
            <w:tcW w:type="dxa" w:w="1300"/>
            <w:vAlign w:val="center"/>
            <w:tcMar>
              <w:top w:w="70" w:type="dxa"/>
              <w:bottom w:w="70" w:type="dxa"/>
              <w:start w:w="100" w:type="dxa"/>
              <w:end w:w="100" w:type="dxa"/>
            </w:tcMar>
          </w:tcPr>
          <w:p>
            <w:pPr>
              <w:spacing w:after="0" w:line="247" w:lineRule="auto"/>
            </w:pPr>
            <w:r>
              <w:rPr>
                <w:rFonts w:ascii="Calibri" w:hAnsi="Calibri"/>
                <w:b w:val="0"/>
                <w:i w:val="0"/>
                <w:color w:val="0B2545"/>
                <w:sz w:val="16"/>
              </w:rPr>
              <w:t>M–X</w:t>
            </w:r>
          </w:p>
        </w:tc>
        <w:tc>
          <w:tcPr>
            <w:tcW w:type="dxa" w:w="6710"/>
            <w:vAlign w:val="center"/>
            <w:tcMar>
              <w:top w:w="70" w:type="dxa"/>
              <w:bottom w:w="70" w:type="dxa"/>
              <w:start w:w="100" w:type="dxa"/>
              <w:end w:w="100" w:type="dxa"/>
            </w:tcMar>
          </w:tcPr>
          <w:p>
            <w:pPr>
              <w:spacing w:after="0" w:line="247" w:lineRule="auto"/>
            </w:pPr>
            <w:r>
              <w:rPr>
                <w:rFonts w:ascii="Calibri" w:hAnsi="Calibri"/>
                <w:b w:val="0"/>
                <w:i w:val="0"/>
                <w:color w:val="0B2545"/>
                <w:sz w:val="16"/>
              </w:rPr>
              <w:t>Price, ticker, percent of funds, quantity, cash required, negative cash use, weekly/monthly/annual income, annual dividend per share, forward yield and tier.</w:t>
            </w:r>
          </w:p>
        </w:tc>
      </w:tr>
      <w:tr>
        <w:trPr>
          <w:cantSplit/>
        </w:trPr>
        <w:tc>
          <w:tcPr>
            <w:tcW w:type="dxa" w:w="1350"/>
            <w:vAlign w:val="center"/>
            <w:tcMar>
              <w:top w:w="70" w:type="dxa"/>
              <w:bottom w:w="70" w:type="dxa"/>
              <w:start w:w="100" w:type="dxa"/>
              <w:end w:w="100" w:type="dxa"/>
            </w:tcMar>
          </w:tcPr>
          <w:p>
            <w:pPr>
              <w:spacing w:after="0" w:line="247" w:lineRule="auto"/>
            </w:pPr>
            <w:r>
              <w:rPr>
                <w:rFonts w:ascii="Calibri" w:hAnsi="Calibri"/>
                <w:b w:val="0"/>
                <w:i w:val="0"/>
                <w:color w:val="0B2545"/>
                <w:sz w:val="16"/>
              </w:rPr>
              <w:t>Scenario totals</w:t>
            </w:r>
          </w:p>
        </w:tc>
        <w:tc>
          <w:tcPr>
            <w:tcW w:type="dxa" w:w="1300"/>
            <w:vAlign w:val="center"/>
            <w:tcMar>
              <w:top w:w="70" w:type="dxa"/>
              <w:bottom w:w="70" w:type="dxa"/>
              <w:start w:w="100" w:type="dxa"/>
              <w:end w:w="100" w:type="dxa"/>
            </w:tcMar>
          </w:tcPr>
          <w:p>
            <w:pPr>
              <w:spacing w:after="0" w:line="247" w:lineRule="auto"/>
            </w:pPr>
            <w:r>
              <w:rPr>
                <w:rFonts w:ascii="Calibri" w:hAnsi="Calibri"/>
                <w:b w:val="0"/>
                <w:i w:val="0"/>
                <w:color w:val="0B2545"/>
                <w:sz w:val="16"/>
              </w:rPr>
              <w:t>R–X below basket</w:t>
            </w:r>
          </w:p>
        </w:tc>
        <w:tc>
          <w:tcPr>
            <w:tcW w:type="dxa" w:w="6710"/>
            <w:vAlign w:val="center"/>
            <w:tcMar>
              <w:top w:w="70" w:type="dxa"/>
              <w:bottom w:w="70" w:type="dxa"/>
              <w:start w:w="100" w:type="dxa"/>
              <w:end w:w="100" w:type="dxa"/>
            </w:tcMar>
          </w:tcPr>
          <w:p>
            <w:pPr>
              <w:spacing w:after="0" w:line="247" w:lineRule="auto"/>
            </w:pPr>
            <w:r>
              <w:rPr>
                <w:rFonts w:ascii="Calibri" w:hAnsi="Calibri"/>
                <w:b w:val="0"/>
                <w:i w:val="0"/>
                <w:color w:val="0B2545"/>
                <w:sz w:val="16"/>
              </w:rPr>
              <w:t>Cash used, remaining cash, income surrendered, net income change and return.</w:t>
            </w:r>
          </w:p>
        </w:tc>
      </w:tr>
      <w:tr>
        <w:trPr>
          <w:cantSplit/>
        </w:trPr>
        <w:tc>
          <w:tcPr>
            <w:tcW w:type="dxa" w:w="1350"/>
            <w:vAlign w:val="center"/>
            <w:tcMar>
              <w:top w:w="70" w:type="dxa"/>
              <w:bottom w:w="70" w:type="dxa"/>
              <w:start w:w="100" w:type="dxa"/>
              <w:end w:w="100" w:type="dxa"/>
            </w:tcMar>
          </w:tcPr>
          <w:p>
            <w:pPr>
              <w:spacing w:after="0" w:line="247" w:lineRule="auto"/>
            </w:pPr>
            <w:r>
              <w:rPr>
                <w:rFonts w:ascii="Calibri" w:hAnsi="Calibri"/>
                <w:b w:val="0"/>
                <w:i w:val="0"/>
                <w:color w:val="0B2545"/>
                <w:sz w:val="16"/>
              </w:rPr>
              <w:t>Plan impact</w:t>
            </w:r>
          </w:p>
        </w:tc>
        <w:tc>
          <w:tcPr>
            <w:tcW w:type="dxa" w:w="1300"/>
            <w:vAlign w:val="center"/>
            <w:tcMar>
              <w:top w:w="70" w:type="dxa"/>
              <w:bottom w:w="70" w:type="dxa"/>
              <w:start w:w="100" w:type="dxa"/>
              <w:end w:w="100" w:type="dxa"/>
            </w:tcMar>
          </w:tcPr>
          <w:p>
            <w:pPr>
              <w:spacing w:after="0" w:line="247" w:lineRule="auto"/>
            </w:pPr>
            <w:r>
              <w:rPr>
                <w:rFonts w:ascii="Calibri" w:hAnsi="Calibri"/>
                <w:b w:val="0"/>
                <w:i w:val="0"/>
                <w:color w:val="0B2545"/>
                <w:sz w:val="16"/>
              </w:rPr>
              <w:t>B–F below lots</w:t>
            </w:r>
          </w:p>
        </w:tc>
        <w:tc>
          <w:tcPr>
            <w:tcW w:type="dxa" w:w="6710"/>
            <w:vAlign w:val="center"/>
            <w:tcMar>
              <w:top w:w="70" w:type="dxa"/>
              <w:bottom w:w="70" w:type="dxa"/>
              <w:start w:w="100" w:type="dxa"/>
              <w:end w:w="100" w:type="dxa"/>
            </w:tcMar>
          </w:tcPr>
          <w:p>
            <w:pPr>
              <w:spacing w:after="0" w:line="247" w:lineRule="auto"/>
            </w:pPr>
            <w:r>
              <w:rPr>
                <w:rFonts w:ascii="Calibri" w:hAnsi="Calibri"/>
                <w:b w:val="0"/>
                <w:i w:val="0"/>
                <w:color w:val="0B2545"/>
                <w:sz w:val="16"/>
              </w:rPr>
              <w:t>Manually entered portfolio annual/monthly plan totals and tranche-to-tranche monthly increases.</w:t>
            </w:r>
          </w:p>
        </w:tc>
      </w:tr>
    </w:tbl>
    <w:p>
      <w:pPr>
        <w:spacing w:after="20"/>
      </w:pPr>
    </w:p>
    <w:p>
      <w:r>
        <w:br w:type="page"/>
      </w:r>
    </w:p>
    <w:p>
      <w:pPr>
        <w:pStyle w:val="Heading1"/>
      </w:pPr>
      <w:r>
        <w:t>4. Formula Reconstruction</w:t>
      </w:r>
    </w:p>
    <w:p>
      <w:pPr>
        <w:pStyle w:val="Heading2"/>
      </w:pPr>
      <w:r>
        <w:t>4.1 Funding and sale-lot calculations</w:t>
      </w:r>
    </w:p>
    <w:tbl>
      <w:tblPr>
        <w:tblStyle w:val="TableGrid"/>
        <w:tblW w:type="dxa" w:w="9360"/>
        <w:jc w:val="left"/>
        <w:tblLayout w:type="fixed"/>
        <w:tblLook w:firstColumn="1" w:firstRow="1" w:lastColumn="0" w:lastRow="0" w:noHBand="0" w:noVBand="1" w:val="04A0"/>
      </w:tblPr>
      <w:tblGrid>
        <w:gridCol w:w="2200"/>
        <w:gridCol w:w="2700"/>
        <w:gridCol w:w="4460"/>
      </w:tblGrid>
      <w:tr>
        <w:trPr>
          <w:tblHeader w:val="true"/>
          <w:cantSplit/>
        </w:trPr>
        <w:tc>
          <w:tcPr>
            <w:tcW w:type="dxa" w:w="2200"/>
            <w:shd w:fill="F2F4F7"/>
            <w:vAlign w:val="center"/>
            <w:tcMar>
              <w:top w:w="70" w:type="dxa"/>
              <w:bottom w:w="70" w:type="dxa"/>
              <w:start w:w="100" w:type="dxa"/>
              <w:end w:w="100" w:type="dxa"/>
            </w:tcMar>
          </w:tcPr>
          <w:p>
            <w:pPr>
              <w:spacing w:after="0"/>
            </w:pPr>
            <w:r>
              <w:rPr>
                <w:rFonts w:ascii="Calibri" w:hAnsi="Calibri"/>
                <w:b/>
                <w:i w:val="0"/>
                <w:color w:val="0B2545"/>
                <w:sz w:val="16"/>
              </w:rPr>
              <w:t>Calculation</w:t>
            </w:r>
          </w:p>
        </w:tc>
        <w:tc>
          <w:tcPr>
            <w:tcW w:type="dxa" w:w="2700"/>
            <w:shd w:fill="F2F4F7"/>
            <w:vAlign w:val="center"/>
            <w:tcMar>
              <w:top w:w="70" w:type="dxa"/>
              <w:bottom w:w="70" w:type="dxa"/>
              <w:start w:w="100" w:type="dxa"/>
              <w:end w:w="100" w:type="dxa"/>
            </w:tcMar>
          </w:tcPr>
          <w:p>
            <w:pPr>
              <w:spacing w:after="0"/>
            </w:pPr>
            <w:r>
              <w:rPr>
                <w:rFonts w:ascii="Calibri" w:hAnsi="Calibri"/>
                <w:b/>
                <w:i w:val="0"/>
                <w:color w:val="0B2545"/>
                <w:sz w:val="16"/>
              </w:rPr>
              <w:t>As-is pattern</w:t>
            </w:r>
          </w:p>
        </w:tc>
        <w:tc>
          <w:tcPr>
            <w:tcW w:type="dxa" w:w="4460"/>
            <w:shd w:fill="F2F4F7"/>
            <w:vAlign w:val="center"/>
            <w:tcMar>
              <w:top w:w="70" w:type="dxa"/>
              <w:bottom w:w="70" w:type="dxa"/>
              <w:start w:w="100" w:type="dxa"/>
              <w:end w:w="100" w:type="dxa"/>
            </w:tcMar>
          </w:tcPr>
          <w:p>
            <w:pPr>
              <w:spacing w:after="0"/>
            </w:pPr>
            <w:r>
              <w:rPr>
                <w:rFonts w:ascii="Calibri" w:hAnsi="Calibri"/>
                <w:b/>
                <w:i w:val="0"/>
                <w:color w:val="0B2545"/>
                <w:sz w:val="16"/>
              </w:rPr>
              <w:t>Target rule</w:t>
            </w:r>
          </w:p>
        </w:tc>
      </w:tr>
      <w:tr>
        <w:trPr>
          <w:cantSplit/>
        </w:trPr>
        <w:tc>
          <w:tcPr>
            <w:tcW w:type="dxa" w:w="2200"/>
            <w:vAlign w:val="center"/>
            <w:tcMar>
              <w:top w:w="70" w:type="dxa"/>
              <w:bottom w:w="70" w:type="dxa"/>
              <w:start w:w="100" w:type="dxa"/>
              <w:end w:w="100" w:type="dxa"/>
            </w:tcMar>
          </w:tcPr>
          <w:p>
            <w:pPr>
              <w:spacing w:after="0" w:line="247" w:lineRule="auto"/>
            </w:pPr>
            <w:r>
              <w:rPr>
                <w:rFonts w:ascii="Calibri" w:hAnsi="Calibri"/>
                <w:b w:val="0"/>
                <w:i w:val="0"/>
                <w:color w:val="0B2545"/>
                <w:sz w:val="16"/>
              </w:rPr>
              <w:t>Original cost</w:t>
            </w:r>
          </w:p>
        </w:tc>
        <w:tc>
          <w:tcPr>
            <w:tcW w:type="dxa" w:w="2700"/>
            <w:vAlign w:val="center"/>
            <w:tcMar>
              <w:top w:w="70" w:type="dxa"/>
              <w:bottom w:w="70" w:type="dxa"/>
              <w:start w:w="100" w:type="dxa"/>
              <w:end w:w="100" w:type="dxa"/>
            </w:tcMar>
          </w:tcPr>
          <w:p>
            <w:pPr>
              <w:spacing w:after="0" w:line="247" w:lineRule="auto"/>
            </w:pPr>
            <w:r>
              <w:rPr>
                <w:rFonts w:ascii="Calibri" w:hAnsi="Calibri"/>
                <w:b w:val="0"/>
                <w:i w:val="0"/>
                <w:color w:val="0B2545"/>
                <w:sz w:val="16"/>
              </w:rPr>
              <w:t>Quantity × price paid</w:t>
            </w:r>
          </w:p>
        </w:tc>
        <w:tc>
          <w:tcPr>
            <w:tcW w:type="dxa" w:w="4460"/>
            <w:vAlign w:val="center"/>
            <w:tcMar>
              <w:top w:w="70" w:type="dxa"/>
              <w:bottom w:w="70" w:type="dxa"/>
              <w:start w:w="100" w:type="dxa"/>
              <w:end w:w="100" w:type="dxa"/>
            </w:tcMar>
          </w:tcPr>
          <w:p>
            <w:pPr>
              <w:spacing w:after="0" w:line="247" w:lineRule="auto"/>
            </w:pPr>
            <w:r>
              <w:rPr>
                <w:rFonts w:ascii="Calibri" w:hAnsi="Calibri"/>
                <w:b w:val="0"/>
                <w:i w:val="0"/>
                <w:color w:val="0B2545"/>
                <w:sz w:val="16"/>
              </w:rPr>
              <w:t>Use actual price paid and acquisition fees. Do not substitute ROC-adjusted basis for performance analysis.</w:t>
            </w:r>
          </w:p>
        </w:tc>
      </w:tr>
      <w:tr>
        <w:trPr>
          <w:cantSplit/>
        </w:trPr>
        <w:tc>
          <w:tcPr>
            <w:tcW w:type="dxa" w:w="2200"/>
            <w:vAlign w:val="center"/>
            <w:tcMar>
              <w:top w:w="70" w:type="dxa"/>
              <w:bottom w:w="70" w:type="dxa"/>
              <w:start w:w="100" w:type="dxa"/>
              <w:end w:w="100" w:type="dxa"/>
            </w:tcMar>
          </w:tcPr>
          <w:p>
            <w:pPr>
              <w:spacing w:after="0" w:line="247" w:lineRule="auto"/>
            </w:pPr>
            <w:r>
              <w:rPr>
                <w:rFonts w:ascii="Calibri" w:hAnsi="Calibri"/>
                <w:b w:val="0"/>
                <w:i w:val="0"/>
                <w:color w:val="0B2545"/>
                <w:sz w:val="16"/>
              </w:rPr>
              <w:t>Expected proceeds</w:t>
            </w:r>
          </w:p>
        </w:tc>
        <w:tc>
          <w:tcPr>
            <w:tcW w:type="dxa" w:w="2700"/>
            <w:vAlign w:val="center"/>
            <w:tcMar>
              <w:top w:w="70" w:type="dxa"/>
              <w:bottom w:w="70" w:type="dxa"/>
              <w:start w:w="100" w:type="dxa"/>
              <w:end w:w="100" w:type="dxa"/>
            </w:tcMar>
          </w:tcPr>
          <w:p>
            <w:pPr>
              <w:spacing w:after="0" w:line="247" w:lineRule="auto"/>
            </w:pPr>
            <w:r>
              <w:rPr>
                <w:rFonts w:ascii="Calibri" w:hAnsi="Calibri"/>
                <w:b w:val="0"/>
                <w:i w:val="0"/>
                <w:color w:val="0B2545"/>
                <w:sz w:val="16"/>
              </w:rPr>
              <w:t>Quantity × current/entered sale price</w:t>
            </w:r>
          </w:p>
        </w:tc>
        <w:tc>
          <w:tcPr>
            <w:tcW w:type="dxa" w:w="4460"/>
            <w:vAlign w:val="center"/>
            <w:tcMar>
              <w:top w:w="70" w:type="dxa"/>
              <w:bottom w:w="70" w:type="dxa"/>
              <w:start w:w="100" w:type="dxa"/>
              <w:end w:w="100" w:type="dxa"/>
            </w:tcMar>
          </w:tcPr>
          <w:p>
            <w:pPr>
              <w:spacing w:after="0" w:line="247" w:lineRule="auto"/>
            </w:pPr>
            <w:r>
              <w:rPr>
                <w:rFonts w:ascii="Calibri" w:hAnsi="Calibri"/>
                <w:b w:val="0"/>
                <w:i w:val="0"/>
                <w:color w:val="0B2545"/>
                <w:sz w:val="16"/>
              </w:rPr>
              <w:t>Quantity × scenario price snapshot, less estimated fees only when applicable.</w:t>
            </w:r>
          </w:p>
        </w:tc>
      </w:tr>
      <w:tr>
        <w:trPr>
          <w:cantSplit/>
        </w:trPr>
        <w:tc>
          <w:tcPr>
            <w:tcW w:type="dxa" w:w="2200"/>
            <w:vAlign w:val="center"/>
            <w:tcMar>
              <w:top w:w="70" w:type="dxa"/>
              <w:bottom w:w="70" w:type="dxa"/>
              <w:start w:w="100" w:type="dxa"/>
              <w:end w:w="100" w:type="dxa"/>
            </w:tcMar>
          </w:tcPr>
          <w:p>
            <w:pPr>
              <w:spacing w:after="0" w:line="247" w:lineRule="auto"/>
            </w:pPr>
            <w:r>
              <w:rPr>
                <w:rFonts w:ascii="Calibri" w:hAnsi="Calibri"/>
                <w:b w:val="0"/>
                <w:i w:val="0"/>
                <w:color w:val="0B2545"/>
                <w:sz w:val="16"/>
              </w:rPr>
              <w:t>Projected price P/L</w:t>
            </w:r>
          </w:p>
        </w:tc>
        <w:tc>
          <w:tcPr>
            <w:tcW w:type="dxa" w:w="2700"/>
            <w:vAlign w:val="center"/>
            <w:tcMar>
              <w:top w:w="70" w:type="dxa"/>
              <w:bottom w:w="70" w:type="dxa"/>
              <w:start w:w="100" w:type="dxa"/>
              <w:end w:w="100" w:type="dxa"/>
            </w:tcMar>
          </w:tcPr>
          <w:p>
            <w:pPr>
              <w:spacing w:after="0" w:line="247" w:lineRule="auto"/>
            </w:pPr>
            <w:r>
              <w:rPr>
                <w:rFonts w:ascii="Calibri" w:hAnsi="Calibri"/>
                <w:b w:val="0"/>
                <w:i w:val="0"/>
                <w:color w:val="0B2545"/>
                <w:sz w:val="16"/>
              </w:rPr>
              <w:t>Expected proceeds − original cost</w:t>
            </w:r>
          </w:p>
        </w:tc>
        <w:tc>
          <w:tcPr>
            <w:tcW w:type="dxa" w:w="4460"/>
            <w:vAlign w:val="center"/>
            <w:tcMar>
              <w:top w:w="70" w:type="dxa"/>
              <w:bottom w:w="70" w:type="dxa"/>
              <w:start w:w="100" w:type="dxa"/>
              <w:end w:w="100" w:type="dxa"/>
            </w:tcMar>
          </w:tcPr>
          <w:p>
            <w:pPr>
              <w:spacing w:after="0" w:line="247" w:lineRule="auto"/>
            </w:pPr>
            <w:r>
              <w:rPr>
                <w:rFonts w:ascii="Calibri" w:hAnsi="Calibri"/>
                <w:b w:val="0"/>
                <w:i w:val="0"/>
                <w:color w:val="0B2545"/>
                <w:sz w:val="16"/>
              </w:rPr>
              <w:t>Pre-approval estimate; replace with actual realized P/L only after fill reconciliation.</w:t>
            </w:r>
          </w:p>
        </w:tc>
      </w:tr>
      <w:tr>
        <w:trPr>
          <w:cantSplit/>
        </w:trPr>
        <w:tc>
          <w:tcPr>
            <w:tcW w:type="dxa" w:w="2200"/>
            <w:vAlign w:val="center"/>
            <w:tcMar>
              <w:top w:w="70" w:type="dxa"/>
              <w:bottom w:w="70" w:type="dxa"/>
              <w:start w:w="100" w:type="dxa"/>
              <w:end w:w="100" w:type="dxa"/>
            </w:tcMar>
          </w:tcPr>
          <w:p>
            <w:pPr>
              <w:spacing w:after="0" w:line="247" w:lineRule="auto"/>
            </w:pPr>
            <w:r>
              <w:rPr>
                <w:rFonts w:ascii="Calibri" w:hAnsi="Calibri"/>
                <w:b w:val="0"/>
                <w:i w:val="0"/>
                <w:color w:val="0B2545"/>
                <w:sz w:val="16"/>
              </w:rPr>
              <w:t>Actual realized P/L</w:t>
            </w:r>
          </w:p>
        </w:tc>
        <w:tc>
          <w:tcPr>
            <w:tcW w:type="dxa" w:w="2700"/>
            <w:vAlign w:val="center"/>
            <w:tcMar>
              <w:top w:w="70" w:type="dxa"/>
              <w:bottom w:w="70" w:type="dxa"/>
              <w:start w:w="100" w:type="dxa"/>
              <w:end w:w="100" w:type="dxa"/>
            </w:tcMar>
          </w:tcPr>
          <w:p>
            <w:pPr>
              <w:spacing w:after="0" w:line="247" w:lineRule="auto"/>
            </w:pPr>
            <w:r>
              <w:rPr>
                <w:rFonts w:ascii="Calibri" w:hAnsi="Calibri"/>
                <w:b w:val="0"/>
                <w:i w:val="0"/>
                <w:color w:val="0B2545"/>
                <w:sz w:val="16"/>
              </w:rPr>
              <w:t>Sometimes copied into a scenario cell</w:t>
            </w:r>
          </w:p>
        </w:tc>
        <w:tc>
          <w:tcPr>
            <w:tcW w:type="dxa" w:w="4460"/>
            <w:vAlign w:val="center"/>
            <w:tcMar>
              <w:top w:w="70" w:type="dxa"/>
              <w:bottom w:w="70" w:type="dxa"/>
              <w:start w:w="100" w:type="dxa"/>
              <w:end w:w="100" w:type="dxa"/>
            </w:tcMar>
          </w:tcPr>
          <w:p>
            <w:pPr>
              <w:spacing w:after="0" w:line="247" w:lineRule="auto"/>
            </w:pPr>
            <w:r>
              <w:rPr>
                <w:rFonts w:ascii="Calibri" w:hAnsi="Calibri"/>
                <w:b w:val="0"/>
                <w:i w:val="0"/>
                <w:color w:val="0B2545"/>
                <w:sz w:val="16"/>
              </w:rPr>
              <w:t>Investment Activity Ledger amount for the reconciled lot-sale event.</w:t>
            </w:r>
          </w:p>
        </w:tc>
      </w:tr>
      <w:tr>
        <w:trPr>
          <w:cantSplit/>
        </w:trPr>
        <w:tc>
          <w:tcPr>
            <w:tcW w:type="dxa" w:w="2200"/>
            <w:vAlign w:val="center"/>
            <w:tcMar>
              <w:top w:w="70" w:type="dxa"/>
              <w:bottom w:w="70" w:type="dxa"/>
              <w:start w:w="100" w:type="dxa"/>
              <w:end w:w="100" w:type="dxa"/>
            </w:tcMar>
          </w:tcPr>
          <w:p>
            <w:pPr>
              <w:spacing w:after="0" w:line="247" w:lineRule="auto"/>
            </w:pPr>
            <w:r>
              <w:rPr>
                <w:rFonts w:ascii="Calibri" w:hAnsi="Calibri"/>
                <w:b w:val="0"/>
                <w:i w:val="0"/>
                <w:color w:val="0B2545"/>
                <w:sz w:val="16"/>
              </w:rPr>
              <w:t>Income surrendered</w:t>
            </w:r>
          </w:p>
        </w:tc>
        <w:tc>
          <w:tcPr>
            <w:tcW w:type="dxa" w:w="2700"/>
            <w:vAlign w:val="center"/>
            <w:tcMar>
              <w:top w:w="70" w:type="dxa"/>
              <w:bottom w:w="70" w:type="dxa"/>
              <w:start w:w="100" w:type="dxa"/>
              <w:end w:w="100" w:type="dxa"/>
            </w:tcMar>
          </w:tcPr>
          <w:p>
            <w:pPr>
              <w:spacing w:after="0" w:line="247" w:lineRule="auto"/>
            </w:pPr>
            <w:r>
              <w:rPr>
                <w:rFonts w:ascii="Calibri" w:hAnsi="Calibri"/>
                <w:b w:val="0"/>
                <w:i w:val="0"/>
                <w:color w:val="0B2545"/>
                <w:sz w:val="16"/>
              </w:rPr>
              <w:t>Quantity sold × planned annual dividend per share</w:t>
            </w:r>
          </w:p>
        </w:tc>
        <w:tc>
          <w:tcPr>
            <w:tcW w:type="dxa" w:w="4460"/>
            <w:vAlign w:val="center"/>
            <w:tcMar>
              <w:top w:w="70" w:type="dxa"/>
              <w:bottom w:w="70" w:type="dxa"/>
              <w:start w:w="100" w:type="dxa"/>
              <w:end w:w="100" w:type="dxa"/>
            </w:tcMar>
          </w:tcPr>
          <w:p>
            <w:pPr>
              <w:spacing w:after="0" w:line="247" w:lineRule="auto"/>
            </w:pPr>
            <w:r>
              <w:rPr>
                <w:rFonts w:ascii="Calibri" w:hAnsi="Calibri"/>
                <w:b w:val="0"/>
                <w:i w:val="0"/>
                <w:color w:val="0B2545"/>
                <w:sz w:val="16"/>
              </w:rPr>
              <w:t>Use the approved Calculator plan snapshot effective when the scenario is evaluated.</w:t>
            </w:r>
          </w:p>
        </w:tc>
      </w:tr>
      <w:tr>
        <w:trPr>
          <w:cantSplit/>
        </w:trPr>
        <w:tc>
          <w:tcPr>
            <w:tcW w:type="dxa" w:w="2200"/>
            <w:vAlign w:val="center"/>
            <w:tcMar>
              <w:top w:w="70" w:type="dxa"/>
              <w:bottom w:w="70" w:type="dxa"/>
              <w:start w:w="100" w:type="dxa"/>
              <w:end w:w="100" w:type="dxa"/>
            </w:tcMar>
          </w:tcPr>
          <w:p>
            <w:pPr>
              <w:spacing w:after="0" w:line="247" w:lineRule="auto"/>
            </w:pPr>
            <w:r>
              <w:rPr>
                <w:rFonts w:ascii="Calibri" w:hAnsi="Calibri"/>
                <w:b w:val="0"/>
                <w:i w:val="0"/>
                <w:color w:val="0B2545"/>
                <w:sz w:val="16"/>
              </w:rPr>
              <w:t>Monthly income surrendered</w:t>
            </w:r>
          </w:p>
        </w:tc>
        <w:tc>
          <w:tcPr>
            <w:tcW w:type="dxa" w:w="2700"/>
            <w:vAlign w:val="center"/>
            <w:tcMar>
              <w:top w:w="70" w:type="dxa"/>
              <w:bottom w:w="70" w:type="dxa"/>
              <w:start w:w="100" w:type="dxa"/>
              <w:end w:w="100" w:type="dxa"/>
            </w:tcMar>
          </w:tcPr>
          <w:p>
            <w:pPr>
              <w:spacing w:after="0" w:line="247" w:lineRule="auto"/>
            </w:pPr>
            <w:r>
              <w:rPr>
                <w:rFonts w:ascii="Calibri" w:hAnsi="Calibri"/>
                <w:b w:val="0"/>
                <w:i w:val="0"/>
                <w:color w:val="0B2545"/>
                <w:sz w:val="16"/>
              </w:rPr>
              <w:t>Annual income surrendered ÷ 12</w:t>
            </w:r>
          </w:p>
        </w:tc>
        <w:tc>
          <w:tcPr>
            <w:tcW w:type="dxa" w:w="4460"/>
            <w:vAlign w:val="center"/>
            <w:tcMar>
              <w:top w:w="70" w:type="dxa"/>
              <w:bottom w:w="70" w:type="dxa"/>
              <w:start w:w="100" w:type="dxa"/>
              <w:end w:w="100" w:type="dxa"/>
            </w:tcMar>
          </w:tcPr>
          <w:p>
            <w:pPr>
              <w:spacing w:after="0" w:line="247" w:lineRule="auto"/>
            </w:pPr>
            <w:r>
              <w:rPr>
                <w:rFonts w:ascii="Calibri" w:hAnsi="Calibri"/>
                <w:b w:val="0"/>
                <w:i w:val="0"/>
                <w:color w:val="0B2545"/>
                <w:sz w:val="16"/>
              </w:rPr>
              <w:t>Monthly equivalent only; not a payment-calendar forecast.</w:t>
            </w:r>
          </w:p>
        </w:tc>
      </w:tr>
    </w:tbl>
    <w:p>
      <w:pPr>
        <w:spacing w:after="20"/>
      </w:pPr>
    </w:p>
    <w:tbl>
      <w:tblPr>
        <w:tblStyle w:val="TableGrid"/>
        <w:tblW w:type="dxa" w:w="9360"/>
        <w:jc w:val="left"/>
        <w:tblLayout w:type="fixed"/>
        <w:tblLook w:firstColumn="1" w:firstRow="1" w:lastColumn="0" w:lastRow="0" w:noHBand="0" w:noVBand="1" w:val="04A0"/>
      </w:tblPr>
      <w:tblGrid>
        <w:gridCol w:w="9360"/>
      </w:tblGrid>
      <w:tr>
        <w:trPr>
          <w:cantSplit/>
        </w:trPr>
        <w:tc>
          <w:tcPr>
            <w:tcW w:type="dxa" w:w="9360"/>
            <w:vAlign w:val="center"/>
            <w:tcMar>
              <w:top w:w="110" w:type="dxa"/>
              <w:bottom w:w="110" w:type="dxa"/>
              <w:start w:w="120" w:type="dxa"/>
              <w:end w:w="120" w:type="dxa"/>
            </w:tcMar>
            <w:shd w:fill="FFF2CC"/>
          </w:tcPr>
          <w:p>
            <w:pPr>
              <w:spacing w:after="0"/>
            </w:pPr>
            <w:r>
              <w:rPr>
                <w:rFonts w:ascii="Calibri" w:hAnsi="Calibri"/>
                <w:b/>
                <w:i w:val="0"/>
                <w:color w:val="1F4D78"/>
                <w:sz w:val="22"/>
              </w:rPr>
              <w:t xml:space="preserve">Cost-basis rule: </w:t>
            </w:r>
            <w:r>
              <w:rPr>
                <w:rFonts w:ascii="Calibri" w:hAnsi="Calibri"/>
                <w:b w:val="0"/>
                <w:i w:val="0"/>
                <w:color w:val="1F4D78"/>
                <w:sz w:val="22"/>
              </w:rPr>
              <w:t>Actual price paid remains the performance basis. Total distributions received, including ROC, are evaluated separately across investments. If tax-reporting adjusted basis is later imported, it is stored as a separate labeled tax field and never overwrites actual-price-paid performance basis.</w:t>
            </w:r>
          </w:p>
        </w:tc>
      </w:tr>
    </w:tbl>
    <w:p>
      <w:pPr>
        <w:spacing w:after="20"/>
      </w:pPr>
    </w:p>
    <w:p>
      <w:pPr>
        <w:pStyle w:val="Heading2"/>
      </w:pPr>
      <w:r>
        <w:t>4.2 Proposed-purchase calculations</w:t>
      </w:r>
    </w:p>
    <w:tbl>
      <w:tblPr>
        <w:tblStyle w:val="TableGrid"/>
        <w:tblW w:type="dxa" w:w="9360"/>
        <w:jc w:val="left"/>
        <w:tblLayout w:type="fixed"/>
        <w:tblLook w:firstColumn="1" w:firstRow="1" w:lastColumn="0" w:lastRow="0" w:noHBand="0" w:noVBand="1" w:val="04A0"/>
      </w:tblPr>
      <w:tblGrid>
        <w:gridCol w:w="1950"/>
        <w:gridCol w:w="2850"/>
        <w:gridCol w:w="4560"/>
      </w:tblGrid>
      <w:tr>
        <w:trPr>
          <w:tblHeader w:val="true"/>
          <w:cantSplit/>
        </w:trPr>
        <w:tc>
          <w:tcPr>
            <w:tcW w:type="dxa" w:w="1950"/>
            <w:shd w:fill="F2F4F7"/>
            <w:vAlign w:val="center"/>
            <w:tcMar>
              <w:top w:w="70" w:type="dxa"/>
              <w:bottom w:w="70" w:type="dxa"/>
              <w:start w:w="100" w:type="dxa"/>
              <w:end w:w="100" w:type="dxa"/>
            </w:tcMar>
          </w:tcPr>
          <w:p>
            <w:pPr>
              <w:spacing w:after="0"/>
            </w:pPr>
            <w:r>
              <w:rPr>
                <w:rFonts w:ascii="Calibri" w:hAnsi="Calibri"/>
                <w:b/>
                <w:i w:val="0"/>
                <w:color w:val="0B2545"/>
                <w:sz w:val="16"/>
              </w:rPr>
              <w:t>Output</w:t>
            </w:r>
          </w:p>
        </w:tc>
        <w:tc>
          <w:tcPr>
            <w:tcW w:type="dxa" w:w="2850"/>
            <w:shd w:fill="F2F4F7"/>
            <w:vAlign w:val="center"/>
            <w:tcMar>
              <w:top w:w="70" w:type="dxa"/>
              <w:bottom w:w="70" w:type="dxa"/>
              <w:start w:w="100" w:type="dxa"/>
              <w:end w:w="100" w:type="dxa"/>
            </w:tcMar>
          </w:tcPr>
          <w:p>
            <w:pPr>
              <w:spacing w:after="0"/>
            </w:pPr>
            <w:r>
              <w:rPr>
                <w:rFonts w:ascii="Calibri" w:hAnsi="Calibri"/>
                <w:b/>
                <w:i w:val="0"/>
                <w:color w:val="0B2545"/>
                <w:sz w:val="16"/>
              </w:rPr>
              <w:t>Legacy formula</w:t>
            </w:r>
          </w:p>
        </w:tc>
        <w:tc>
          <w:tcPr>
            <w:tcW w:type="dxa" w:w="4560"/>
            <w:shd w:fill="F2F4F7"/>
            <w:vAlign w:val="center"/>
            <w:tcMar>
              <w:top w:w="70" w:type="dxa"/>
              <w:bottom w:w="70" w:type="dxa"/>
              <w:start w:w="100" w:type="dxa"/>
              <w:end w:w="100" w:type="dxa"/>
            </w:tcMar>
          </w:tcPr>
          <w:p>
            <w:pPr>
              <w:spacing w:after="0"/>
            </w:pPr>
            <w:r>
              <w:rPr>
                <w:rFonts w:ascii="Calibri" w:hAnsi="Calibri"/>
                <w:b/>
                <w:i w:val="0"/>
                <w:color w:val="0B2545"/>
                <w:sz w:val="16"/>
              </w:rPr>
              <w:t>Target definition</w:t>
            </w:r>
          </w:p>
        </w:tc>
      </w:tr>
      <w:tr>
        <w:trPr>
          <w:cantSplit/>
        </w:trPr>
        <w:tc>
          <w:tcPr>
            <w:tcW w:type="dxa" w:w="1950"/>
            <w:vAlign w:val="center"/>
            <w:tcMar>
              <w:top w:w="70" w:type="dxa"/>
              <w:bottom w:w="70" w:type="dxa"/>
              <w:start w:w="100" w:type="dxa"/>
              <w:end w:w="100" w:type="dxa"/>
            </w:tcMar>
          </w:tcPr>
          <w:p>
            <w:pPr>
              <w:spacing w:after="0" w:line="247" w:lineRule="auto"/>
            </w:pPr>
            <w:r>
              <w:rPr>
                <w:rFonts w:ascii="Calibri" w:hAnsi="Calibri"/>
                <w:b w:val="0"/>
                <w:i w:val="0"/>
                <w:color w:val="0B2545"/>
                <w:sz w:val="16"/>
              </w:rPr>
              <w:t>Purchase cash</w:t>
            </w:r>
          </w:p>
        </w:tc>
        <w:tc>
          <w:tcPr>
            <w:tcW w:type="dxa" w:w="2850"/>
            <w:vAlign w:val="center"/>
            <w:tcMar>
              <w:top w:w="70" w:type="dxa"/>
              <w:bottom w:w="70" w:type="dxa"/>
              <w:start w:w="100" w:type="dxa"/>
              <w:end w:w="100" w:type="dxa"/>
            </w:tcMar>
          </w:tcPr>
          <w:p>
            <w:pPr>
              <w:spacing w:after="0" w:line="247" w:lineRule="auto"/>
            </w:pPr>
            <w:r>
              <w:rPr>
                <w:rFonts w:ascii="Calibri" w:hAnsi="Calibri"/>
                <w:b w:val="0"/>
                <w:i w:val="0"/>
                <w:color w:val="0B2545"/>
                <w:sz w:val="16"/>
              </w:rPr>
              <w:t>quantity × unit price</w:t>
            </w:r>
          </w:p>
        </w:tc>
        <w:tc>
          <w:tcPr>
            <w:tcW w:type="dxa" w:w="4560"/>
            <w:vAlign w:val="center"/>
            <w:tcMar>
              <w:top w:w="70" w:type="dxa"/>
              <w:bottom w:w="70" w:type="dxa"/>
              <w:start w:w="100" w:type="dxa"/>
              <w:end w:w="100" w:type="dxa"/>
            </w:tcMar>
          </w:tcPr>
          <w:p>
            <w:pPr>
              <w:spacing w:after="0" w:line="247" w:lineRule="auto"/>
            </w:pPr>
            <w:r>
              <w:rPr>
                <w:rFonts w:ascii="Calibri" w:hAnsi="Calibri"/>
                <w:b w:val="0"/>
                <w:i w:val="0"/>
                <w:color w:val="0B2545"/>
                <w:sz w:val="16"/>
              </w:rPr>
              <w:t>Quantity × price snapshot + estimated fees.</w:t>
            </w:r>
          </w:p>
        </w:tc>
      </w:tr>
      <w:tr>
        <w:trPr>
          <w:cantSplit/>
        </w:trPr>
        <w:tc>
          <w:tcPr>
            <w:tcW w:type="dxa" w:w="1950"/>
            <w:vAlign w:val="center"/>
            <w:tcMar>
              <w:top w:w="70" w:type="dxa"/>
              <w:bottom w:w="70" w:type="dxa"/>
              <w:start w:w="100" w:type="dxa"/>
              <w:end w:w="100" w:type="dxa"/>
            </w:tcMar>
          </w:tcPr>
          <w:p>
            <w:pPr>
              <w:spacing w:after="0" w:line="247" w:lineRule="auto"/>
            </w:pPr>
            <w:r>
              <w:rPr>
                <w:rFonts w:ascii="Calibri" w:hAnsi="Calibri"/>
                <w:b w:val="0"/>
                <w:i w:val="0"/>
                <w:color w:val="0B2545"/>
                <w:sz w:val="16"/>
              </w:rPr>
              <w:t>Funds allocated</w:t>
            </w:r>
          </w:p>
        </w:tc>
        <w:tc>
          <w:tcPr>
            <w:tcW w:type="dxa" w:w="2850"/>
            <w:vAlign w:val="center"/>
            <w:tcMar>
              <w:top w:w="70" w:type="dxa"/>
              <w:bottom w:w="70" w:type="dxa"/>
              <w:start w:w="100" w:type="dxa"/>
              <w:end w:w="100" w:type="dxa"/>
            </w:tcMar>
          </w:tcPr>
          <w:p>
            <w:pPr>
              <w:spacing w:after="0" w:line="247" w:lineRule="auto"/>
            </w:pPr>
            <w:r>
              <w:rPr>
                <w:rFonts w:ascii="Calibri" w:hAnsi="Calibri"/>
                <w:b w:val="0"/>
                <w:i w:val="0"/>
                <w:color w:val="0B2545"/>
                <w:sz w:val="16"/>
              </w:rPr>
              <w:t>purchase cash ÷ available funds</w:t>
            </w:r>
          </w:p>
        </w:tc>
        <w:tc>
          <w:tcPr>
            <w:tcW w:type="dxa" w:w="4560"/>
            <w:vAlign w:val="center"/>
            <w:tcMar>
              <w:top w:w="70" w:type="dxa"/>
              <w:bottom w:w="70" w:type="dxa"/>
              <w:start w:w="100" w:type="dxa"/>
              <w:end w:w="100" w:type="dxa"/>
            </w:tcMar>
          </w:tcPr>
          <w:p>
            <w:pPr>
              <w:spacing w:after="0" w:line="247" w:lineRule="auto"/>
            </w:pPr>
            <w:r>
              <w:rPr>
                <w:rFonts w:ascii="Calibri" w:hAnsi="Calibri"/>
                <w:b w:val="0"/>
                <w:i w:val="0"/>
                <w:color w:val="0B2545"/>
                <w:sz w:val="16"/>
              </w:rPr>
              <w:t>Line purchase cash divided by scenario gross funds; zero-denominator is blocked.</w:t>
            </w:r>
          </w:p>
        </w:tc>
      </w:tr>
      <w:tr>
        <w:trPr>
          <w:cantSplit/>
        </w:trPr>
        <w:tc>
          <w:tcPr>
            <w:tcW w:type="dxa" w:w="1950"/>
            <w:vAlign w:val="center"/>
            <w:tcMar>
              <w:top w:w="70" w:type="dxa"/>
              <w:bottom w:w="70" w:type="dxa"/>
              <w:start w:w="100" w:type="dxa"/>
              <w:end w:w="100" w:type="dxa"/>
            </w:tcMar>
          </w:tcPr>
          <w:p>
            <w:pPr>
              <w:spacing w:after="0" w:line="247" w:lineRule="auto"/>
            </w:pPr>
            <w:r>
              <w:rPr>
                <w:rFonts w:ascii="Calibri" w:hAnsi="Calibri"/>
                <w:b w:val="0"/>
                <w:i w:val="0"/>
                <w:color w:val="0B2545"/>
                <w:sz w:val="16"/>
              </w:rPr>
              <w:t>Annual income</w:t>
            </w:r>
          </w:p>
        </w:tc>
        <w:tc>
          <w:tcPr>
            <w:tcW w:type="dxa" w:w="2850"/>
            <w:vAlign w:val="center"/>
            <w:tcMar>
              <w:top w:w="70" w:type="dxa"/>
              <w:bottom w:w="70" w:type="dxa"/>
              <w:start w:w="100" w:type="dxa"/>
              <w:end w:w="100" w:type="dxa"/>
            </w:tcMar>
          </w:tcPr>
          <w:p>
            <w:pPr>
              <w:spacing w:after="0" w:line="247" w:lineRule="auto"/>
            </w:pPr>
            <w:r>
              <w:rPr>
                <w:rFonts w:ascii="Calibri" w:hAnsi="Calibri"/>
                <w:b w:val="0"/>
                <w:i w:val="0"/>
                <w:color w:val="0B2545"/>
                <w:sz w:val="16"/>
              </w:rPr>
              <w:t>quantity × annual dividend per share</w:t>
            </w:r>
          </w:p>
        </w:tc>
        <w:tc>
          <w:tcPr>
            <w:tcW w:type="dxa" w:w="4560"/>
            <w:vAlign w:val="center"/>
            <w:tcMar>
              <w:top w:w="70" w:type="dxa"/>
              <w:bottom w:w="70" w:type="dxa"/>
              <w:start w:w="100" w:type="dxa"/>
              <w:end w:w="100" w:type="dxa"/>
            </w:tcMar>
          </w:tcPr>
          <w:p>
            <w:pPr>
              <w:spacing w:after="0" w:line="247" w:lineRule="auto"/>
            </w:pPr>
            <w:r>
              <w:rPr>
                <w:rFonts w:ascii="Calibri" w:hAnsi="Calibri"/>
                <w:b w:val="0"/>
                <w:i w:val="0"/>
                <w:color w:val="0B2545"/>
                <w:sz w:val="16"/>
              </w:rPr>
              <w:t>Quantity × approved planned annual dividend per share from Calculator snapshot.</w:t>
            </w:r>
          </w:p>
        </w:tc>
      </w:tr>
      <w:tr>
        <w:trPr>
          <w:cantSplit/>
        </w:trPr>
        <w:tc>
          <w:tcPr>
            <w:tcW w:type="dxa" w:w="1950"/>
            <w:vAlign w:val="center"/>
            <w:tcMar>
              <w:top w:w="70" w:type="dxa"/>
              <w:bottom w:w="70" w:type="dxa"/>
              <w:start w:w="100" w:type="dxa"/>
              <w:end w:w="100" w:type="dxa"/>
            </w:tcMar>
          </w:tcPr>
          <w:p>
            <w:pPr>
              <w:spacing w:after="0" w:line="247" w:lineRule="auto"/>
            </w:pPr>
            <w:r>
              <w:rPr>
                <w:rFonts w:ascii="Calibri" w:hAnsi="Calibri"/>
                <w:b w:val="0"/>
                <w:i w:val="0"/>
                <w:color w:val="0B2545"/>
                <w:sz w:val="16"/>
              </w:rPr>
              <w:t>Monthly equivalent</w:t>
            </w:r>
          </w:p>
        </w:tc>
        <w:tc>
          <w:tcPr>
            <w:tcW w:type="dxa" w:w="2850"/>
            <w:vAlign w:val="center"/>
            <w:tcMar>
              <w:top w:w="70" w:type="dxa"/>
              <w:bottom w:w="70" w:type="dxa"/>
              <w:start w:w="100" w:type="dxa"/>
              <w:end w:w="100" w:type="dxa"/>
            </w:tcMar>
          </w:tcPr>
          <w:p>
            <w:pPr>
              <w:spacing w:after="0" w:line="247" w:lineRule="auto"/>
            </w:pPr>
            <w:r>
              <w:rPr>
                <w:rFonts w:ascii="Calibri" w:hAnsi="Calibri"/>
                <w:b w:val="0"/>
                <w:i w:val="0"/>
                <w:color w:val="0B2545"/>
                <w:sz w:val="16"/>
              </w:rPr>
              <w:t>annual income ÷ 12</w:t>
            </w:r>
          </w:p>
        </w:tc>
        <w:tc>
          <w:tcPr>
            <w:tcW w:type="dxa" w:w="4560"/>
            <w:vAlign w:val="center"/>
            <w:tcMar>
              <w:top w:w="70" w:type="dxa"/>
              <w:bottom w:w="70" w:type="dxa"/>
              <w:start w:w="100" w:type="dxa"/>
              <w:end w:w="100" w:type="dxa"/>
            </w:tcMar>
          </w:tcPr>
          <w:p>
            <w:pPr>
              <w:spacing w:after="0" w:line="247" w:lineRule="auto"/>
            </w:pPr>
            <w:r>
              <w:rPr>
                <w:rFonts w:ascii="Calibri" w:hAnsi="Calibri"/>
                <w:b w:val="0"/>
                <w:i w:val="0"/>
                <w:color w:val="0B2545"/>
                <w:sz w:val="16"/>
              </w:rPr>
              <w:t>Normalized monthly income for comparison and Dashboard planning.</w:t>
            </w:r>
          </w:p>
        </w:tc>
      </w:tr>
      <w:tr>
        <w:trPr>
          <w:cantSplit/>
        </w:trPr>
        <w:tc>
          <w:tcPr>
            <w:tcW w:type="dxa" w:w="1950"/>
            <w:vAlign w:val="center"/>
            <w:tcMar>
              <w:top w:w="70" w:type="dxa"/>
              <w:bottom w:w="70" w:type="dxa"/>
              <w:start w:w="100" w:type="dxa"/>
              <w:end w:w="100" w:type="dxa"/>
            </w:tcMar>
          </w:tcPr>
          <w:p>
            <w:pPr>
              <w:spacing w:after="0" w:line="247" w:lineRule="auto"/>
            </w:pPr>
            <w:r>
              <w:rPr>
                <w:rFonts w:ascii="Calibri" w:hAnsi="Calibri"/>
                <w:b w:val="0"/>
                <w:i w:val="0"/>
                <w:color w:val="0B2545"/>
                <w:sz w:val="16"/>
              </w:rPr>
              <w:t>Weekly equivalent</w:t>
            </w:r>
          </w:p>
        </w:tc>
        <w:tc>
          <w:tcPr>
            <w:tcW w:type="dxa" w:w="2850"/>
            <w:vAlign w:val="center"/>
            <w:tcMar>
              <w:top w:w="70" w:type="dxa"/>
              <w:bottom w:w="70" w:type="dxa"/>
              <w:start w:w="100" w:type="dxa"/>
              <w:end w:w="100" w:type="dxa"/>
            </w:tcMar>
          </w:tcPr>
          <w:p>
            <w:pPr>
              <w:spacing w:after="0" w:line="247" w:lineRule="auto"/>
            </w:pPr>
            <w:r>
              <w:rPr>
                <w:rFonts w:ascii="Calibri" w:hAnsi="Calibri"/>
                <w:b w:val="0"/>
                <w:i w:val="0"/>
                <w:color w:val="0B2545"/>
                <w:sz w:val="16"/>
              </w:rPr>
              <w:t>annual income ÷ 52</w:t>
            </w:r>
          </w:p>
        </w:tc>
        <w:tc>
          <w:tcPr>
            <w:tcW w:type="dxa" w:w="4560"/>
            <w:vAlign w:val="center"/>
            <w:tcMar>
              <w:top w:w="70" w:type="dxa"/>
              <w:bottom w:w="70" w:type="dxa"/>
              <w:start w:w="100" w:type="dxa"/>
              <w:end w:w="100" w:type="dxa"/>
            </w:tcMar>
          </w:tcPr>
          <w:p>
            <w:pPr>
              <w:spacing w:after="0" w:line="247" w:lineRule="auto"/>
            </w:pPr>
            <w:r>
              <w:rPr>
                <w:rFonts w:ascii="Calibri" w:hAnsi="Calibri"/>
                <w:b w:val="0"/>
                <w:i w:val="0"/>
                <w:color w:val="0B2545"/>
                <w:sz w:val="16"/>
              </w:rPr>
              <w:t>Normalized weekly equivalent—not an assertion that cash is paid weekly.</w:t>
            </w:r>
          </w:p>
        </w:tc>
      </w:tr>
      <w:tr>
        <w:trPr>
          <w:cantSplit/>
        </w:trPr>
        <w:tc>
          <w:tcPr>
            <w:tcW w:type="dxa" w:w="1950"/>
            <w:vAlign w:val="center"/>
            <w:tcMar>
              <w:top w:w="70" w:type="dxa"/>
              <w:bottom w:w="70" w:type="dxa"/>
              <w:start w:w="100" w:type="dxa"/>
              <w:end w:w="100" w:type="dxa"/>
            </w:tcMar>
          </w:tcPr>
          <w:p>
            <w:pPr>
              <w:spacing w:after="0" w:line="247" w:lineRule="auto"/>
            </w:pPr>
            <w:r>
              <w:rPr>
                <w:rFonts w:ascii="Calibri" w:hAnsi="Calibri"/>
                <w:b w:val="0"/>
                <w:i w:val="0"/>
                <w:color w:val="0B2545"/>
                <w:sz w:val="16"/>
              </w:rPr>
              <w:t>Forward income yield</w:t>
            </w:r>
          </w:p>
        </w:tc>
        <w:tc>
          <w:tcPr>
            <w:tcW w:type="dxa" w:w="2850"/>
            <w:vAlign w:val="center"/>
            <w:tcMar>
              <w:top w:w="70" w:type="dxa"/>
              <w:bottom w:w="70" w:type="dxa"/>
              <w:start w:w="100" w:type="dxa"/>
              <w:end w:w="100" w:type="dxa"/>
            </w:tcMar>
          </w:tcPr>
          <w:p>
            <w:pPr>
              <w:spacing w:after="0" w:line="247" w:lineRule="auto"/>
            </w:pPr>
            <w:r>
              <w:rPr>
                <w:rFonts w:ascii="Calibri" w:hAnsi="Calibri"/>
                <w:b w:val="0"/>
                <w:i w:val="0"/>
                <w:color w:val="0B2545"/>
                <w:sz w:val="16"/>
              </w:rPr>
              <w:t>annual dividend per share ÷ unit price</w:t>
            </w:r>
          </w:p>
        </w:tc>
        <w:tc>
          <w:tcPr>
            <w:tcW w:type="dxa" w:w="4560"/>
            <w:vAlign w:val="center"/>
            <w:tcMar>
              <w:top w:w="70" w:type="dxa"/>
              <w:bottom w:w="70" w:type="dxa"/>
              <w:start w:w="100" w:type="dxa"/>
              <w:end w:w="100" w:type="dxa"/>
            </w:tcMar>
          </w:tcPr>
          <w:p>
            <w:pPr>
              <w:spacing w:after="0" w:line="247" w:lineRule="auto"/>
            </w:pPr>
            <w:r>
              <w:rPr>
                <w:rFonts w:ascii="Calibri" w:hAnsi="Calibri"/>
                <w:b w:val="0"/>
                <w:i w:val="0"/>
                <w:color w:val="0B2545"/>
                <w:sz w:val="16"/>
              </w:rPr>
              <w:t>Snapshot annual planned income divided by snapshot purchase price.</w:t>
            </w:r>
          </w:p>
        </w:tc>
      </w:tr>
      <w:tr>
        <w:trPr>
          <w:cantSplit/>
        </w:trPr>
        <w:tc>
          <w:tcPr>
            <w:tcW w:type="dxa" w:w="1950"/>
            <w:vAlign w:val="center"/>
            <w:tcMar>
              <w:top w:w="70" w:type="dxa"/>
              <w:bottom w:w="70" w:type="dxa"/>
              <w:start w:w="100" w:type="dxa"/>
              <w:end w:w="100" w:type="dxa"/>
            </w:tcMar>
          </w:tcPr>
          <w:p>
            <w:pPr>
              <w:spacing w:after="0" w:line="247" w:lineRule="auto"/>
            </w:pPr>
            <w:r>
              <w:rPr>
                <w:rFonts w:ascii="Calibri" w:hAnsi="Calibri"/>
                <w:b w:val="0"/>
                <w:i w:val="0"/>
                <w:color w:val="0B2545"/>
                <w:sz w:val="16"/>
              </w:rPr>
              <w:t>Tier</w:t>
            </w:r>
          </w:p>
        </w:tc>
        <w:tc>
          <w:tcPr>
            <w:tcW w:type="dxa" w:w="2850"/>
            <w:vAlign w:val="center"/>
            <w:tcMar>
              <w:top w:w="70" w:type="dxa"/>
              <w:bottom w:w="70" w:type="dxa"/>
              <w:start w:w="100" w:type="dxa"/>
              <w:end w:w="100" w:type="dxa"/>
            </w:tcMar>
          </w:tcPr>
          <w:p>
            <w:pPr>
              <w:spacing w:after="0" w:line="247" w:lineRule="auto"/>
            </w:pPr>
            <w:r>
              <w:rPr>
                <w:rFonts w:ascii="Calibri" w:hAnsi="Calibri"/>
                <w:b w:val="0"/>
                <w:i w:val="0"/>
                <w:color w:val="0B2545"/>
                <w:sz w:val="16"/>
              </w:rPr>
              <w:t>lookup ticker in Position Details</w:t>
            </w:r>
          </w:p>
        </w:tc>
        <w:tc>
          <w:tcPr>
            <w:tcW w:type="dxa" w:w="4560"/>
            <w:vAlign w:val="center"/>
            <w:tcMar>
              <w:top w:w="70" w:type="dxa"/>
              <w:bottom w:w="70" w:type="dxa"/>
              <w:start w:w="100" w:type="dxa"/>
              <w:end w:w="100" w:type="dxa"/>
            </w:tcMar>
          </w:tcPr>
          <w:p>
            <w:pPr>
              <w:spacing w:after="0" w:line="247" w:lineRule="auto"/>
            </w:pPr>
            <w:r>
              <w:rPr>
                <w:rFonts w:ascii="Calibri" w:hAnsi="Calibri"/>
                <w:b w:val="0"/>
                <w:i w:val="0"/>
                <w:color w:val="0B2545"/>
                <w:sz w:val="16"/>
              </w:rPr>
              <w:t>Foundation, Core or Risk On from the effective classification record.</w:t>
            </w:r>
          </w:p>
        </w:tc>
      </w:tr>
    </w:tbl>
    <w:p>
      <w:pPr>
        <w:spacing w:after="20"/>
      </w:pPr>
    </w:p>
    <w:p>
      <w:pPr>
        <w:pStyle w:val="Heading2"/>
      </w:pPr>
      <w:r>
        <w:t>4.3 Scenario rollup calculations</w:t>
      </w:r>
    </w:p>
    <w:tbl>
      <w:tblPr>
        <w:tblStyle w:val="TableGrid"/>
        <w:tblW w:type="dxa" w:w="9360"/>
        <w:jc w:val="left"/>
        <w:tblLayout w:type="fixed"/>
        <w:tblLook w:firstColumn="1" w:firstRow="1" w:lastColumn="0" w:lastRow="0" w:noHBand="0" w:noVBand="1" w:val="04A0"/>
      </w:tblPr>
      <w:tblGrid>
        <w:gridCol w:w="2800"/>
        <w:gridCol w:w="6560"/>
      </w:tblGrid>
      <w:tr>
        <w:trPr>
          <w:tblHeader w:val="true"/>
          <w:cantSplit/>
        </w:trPr>
        <w:tc>
          <w:tcPr>
            <w:tcW w:type="dxa" w:w="2800"/>
            <w:shd w:fill="F2F4F7"/>
            <w:vAlign w:val="center"/>
            <w:tcMar>
              <w:top w:w="70" w:type="dxa"/>
              <w:bottom w:w="70" w:type="dxa"/>
              <w:start w:w="100" w:type="dxa"/>
              <w:end w:w="100" w:type="dxa"/>
            </w:tcMar>
          </w:tcPr>
          <w:p>
            <w:pPr>
              <w:spacing w:after="0"/>
            </w:pPr>
            <w:r>
              <w:rPr>
                <w:rFonts w:ascii="Calibri" w:hAnsi="Calibri"/>
                <w:b/>
                <w:i w:val="0"/>
                <w:color w:val="0B2545"/>
                <w:sz w:val="16"/>
              </w:rPr>
              <w:t>Metric</w:t>
            </w:r>
          </w:p>
        </w:tc>
        <w:tc>
          <w:tcPr>
            <w:tcW w:type="dxa" w:w="6560"/>
            <w:shd w:fill="F2F4F7"/>
            <w:vAlign w:val="center"/>
            <w:tcMar>
              <w:top w:w="70" w:type="dxa"/>
              <w:bottom w:w="70" w:type="dxa"/>
              <w:start w:w="100" w:type="dxa"/>
              <w:end w:w="100" w:type="dxa"/>
            </w:tcMar>
          </w:tcPr>
          <w:p>
            <w:pPr>
              <w:spacing w:after="0"/>
            </w:pPr>
            <w:r>
              <w:rPr>
                <w:rFonts w:ascii="Calibri" w:hAnsi="Calibri"/>
                <w:b/>
                <w:i w:val="0"/>
                <w:color w:val="0B2545"/>
                <w:sz w:val="16"/>
              </w:rPr>
              <w:t>Target formula / behavior</w:t>
            </w:r>
          </w:p>
        </w:tc>
      </w:tr>
      <w:tr>
        <w:trPr>
          <w:cantSplit/>
        </w:trPr>
        <w:tc>
          <w:tcPr>
            <w:tcW w:type="dxa" w:w="2800"/>
            <w:vAlign w:val="center"/>
            <w:tcMar>
              <w:top w:w="70" w:type="dxa"/>
              <w:bottom w:w="70" w:type="dxa"/>
              <w:start w:w="100" w:type="dxa"/>
              <w:end w:w="100" w:type="dxa"/>
            </w:tcMar>
          </w:tcPr>
          <w:p>
            <w:pPr>
              <w:spacing w:after="0" w:line="247" w:lineRule="auto"/>
            </w:pPr>
            <w:r>
              <w:rPr>
                <w:rFonts w:ascii="Calibri" w:hAnsi="Calibri"/>
                <w:b w:val="0"/>
                <w:i w:val="0"/>
                <w:color w:val="0B2545"/>
                <w:sz w:val="16"/>
              </w:rPr>
              <w:t>Gross funds</w:t>
            </w:r>
          </w:p>
        </w:tc>
        <w:tc>
          <w:tcPr>
            <w:tcW w:type="dxa" w:w="6560"/>
            <w:vAlign w:val="center"/>
            <w:tcMar>
              <w:top w:w="70" w:type="dxa"/>
              <w:bottom w:w="70" w:type="dxa"/>
              <w:start w:w="100" w:type="dxa"/>
              <w:end w:w="100" w:type="dxa"/>
            </w:tcMar>
          </w:tcPr>
          <w:p>
            <w:pPr>
              <w:spacing w:after="0" w:line="247" w:lineRule="auto"/>
            </w:pPr>
            <w:r>
              <w:rPr>
                <w:rFonts w:ascii="Calibri" w:hAnsi="Calibri"/>
                <w:b w:val="0"/>
                <w:i w:val="0"/>
                <w:color w:val="0B2545"/>
                <w:sz w:val="16"/>
              </w:rPr>
              <w:t>New cash contribution + expected sale proceeds designated for the scenario.</w:t>
            </w:r>
          </w:p>
        </w:tc>
      </w:tr>
      <w:tr>
        <w:trPr>
          <w:cantSplit/>
        </w:trPr>
        <w:tc>
          <w:tcPr>
            <w:tcW w:type="dxa" w:w="2800"/>
            <w:vAlign w:val="center"/>
            <w:tcMar>
              <w:top w:w="70" w:type="dxa"/>
              <w:bottom w:w="70" w:type="dxa"/>
              <w:start w:w="100" w:type="dxa"/>
              <w:end w:w="100" w:type="dxa"/>
            </w:tcMar>
          </w:tcPr>
          <w:p>
            <w:pPr>
              <w:spacing w:after="0" w:line="247" w:lineRule="auto"/>
            </w:pPr>
            <w:r>
              <w:rPr>
                <w:rFonts w:ascii="Calibri" w:hAnsi="Calibri"/>
                <w:b w:val="0"/>
                <w:i w:val="0"/>
                <w:color w:val="0B2545"/>
                <w:sz w:val="16"/>
              </w:rPr>
              <w:t>Purchase spend</w:t>
            </w:r>
          </w:p>
        </w:tc>
        <w:tc>
          <w:tcPr>
            <w:tcW w:type="dxa" w:w="6560"/>
            <w:vAlign w:val="center"/>
            <w:tcMar>
              <w:top w:w="70" w:type="dxa"/>
              <w:bottom w:w="70" w:type="dxa"/>
              <w:start w:w="100" w:type="dxa"/>
              <w:end w:w="100" w:type="dxa"/>
            </w:tcMar>
          </w:tcPr>
          <w:p>
            <w:pPr>
              <w:spacing w:after="0" w:line="247" w:lineRule="auto"/>
            </w:pPr>
            <w:r>
              <w:rPr>
                <w:rFonts w:ascii="Calibri" w:hAnsi="Calibri"/>
                <w:b w:val="0"/>
                <w:i w:val="0"/>
                <w:color w:val="0B2545"/>
                <w:sz w:val="16"/>
              </w:rPr>
              <w:t>Sum of proposed purchase cash across included lines.</w:t>
            </w:r>
          </w:p>
        </w:tc>
      </w:tr>
      <w:tr>
        <w:trPr>
          <w:cantSplit/>
        </w:trPr>
        <w:tc>
          <w:tcPr>
            <w:tcW w:type="dxa" w:w="2800"/>
            <w:vAlign w:val="center"/>
            <w:tcMar>
              <w:top w:w="70" w:type="dxa"/>
              <w:bottom w:w="70" w:type="dxa"/>
              <w:start w:w="100" w:type="dxa"/>
              <w:end w:w="100" w:type="dxa"/>
            </w:tcMar>
          </w:tcPr>
          <w:p>
            <w:pPr>
              <w:spacing w:after="0" w:line="247" w:lineRule="auto"/>
            </w:pPr>
            <w:r>
              <w:rPr>
                <w:rFonts w:ascii="Calibri" w:hAnsi="Calibri"/>
                <w:b w:val="0"/>
                <w:i w:val="0"/>
                <w:color w:val="0B2545"/>
                <w:sz w:val="16"/>
              </w:rPr>
              <w:t>Unallocated cash</w:t>
            </w:r>
          </w:p>
        </w:tc>
        <w:tc>
          <w:tcPr>
            <w:tcW w:type="dxa" w:w="6560"/>
            <w:vAlign w:val="center"/>
            <w:tcMar>
              <w:top w:w="70" w:type="dxa"/>
              <w:bottom w:w="70" w:type="dxa"/>
              <w:start w:w="100" w:type="dxa"/>
              <w:end w:w="100" w:type="dxa"/>
            </w:tcMar>
          </w:tcPr>
          <w:p>
            <w:pPr>
              <w:spacing w:after="0" w:line="247" w:lineRule="auto"/>
            </w:pPr>
            <w:r>
              <w:rPr>
                <w:rFonts w:ascii="Calibri" w:hAnsi="Calibri"/>
                <w:b w:val="0"/>
                <w:i w:val="0"/>
                <w:color w:val="0B2545"/>
                <w:sz w:val="16"/>
              </w:rPr>
              <w:t>Gross funds − purchase spend. Must not be negative without a documented funding source.</w:t>
            </w:r>
          </w:p>
        </w:tc>
      </w:tr>
      <w:tr>
        <w:trPr>
          <w:cantSplit/>
        </w:trPr>
        <w:tc>
          <w:tcPr>
            <w:tcW w:type="dxa" w:w="2800"/>
            <w:vAlign w:val="center"/>
            <w:tcMar>
              <w:top w:w="70" w:type="dxa"/>
              <w:bottom w:w="70" w:type="dxa"/>
              <w:start w:w="100" w:type="dxa"/>
              <w:end w:w="100" w:type="dxa"/>
            </w:tcMar>
          </w:tcPr>
          <w:p>
            <w:pPr>
              <w:spacing w:after="0" w:line="247" w:lineRule="auto"/>
            </w:pPr>
            <w:r>
              <w:rPr>
                <w:rFonts w:ascii="Calibri" w:hAnsi="Calibri"/>
                <w:b w:val="0"/>
                <w:i w:val="0"/>
                <w:color w:val="0B2545"/>
                <w:sz w:val="16"/>
              </w:rPr>
              <w:t>Annual income added</w:t>
            </w:r>
          </w:p>
        </w:tc>
        <w:tc>
          <w:tcPr>
            <w:tcW w:type="dxa" w:w="6560"/>
            <w:vAlign w:val="center"/>
            <w:tcMar>
              <w:top w:w="70" w:type="dxa"/>
              <w:bottom w:w="70" w:type="dxa"/>
              <w:start w:w="100" w:type="dxa"/>
              <w:end w:w="100" w:type="dxa"/>
            </w:tcMar>
          </w:tcPr>
          <w:p>
            <w:pPr>
              <w:spacing w:after="0" w:line="247" w:lineRule="auto"/>
            </w:pPr>
            <w:r>
              <w:rPr>
                <w:rFonts w:ascii="Calibri" w:hAnsi="Calibri"/>
                <w:b w:val="0"/>
                <w:i w:val="0"/>
                <w:color w:val="0B2545"/>
                <w:sz w:val="16"/>
              </w:rPr>
              <w:t>Sum of proposed purchase annual income.</w:t>
            </w:r>
          </w:p>
        </w:tc>
      </w:tr>
      <w:tr>
        <w:trPr>
          <w:cantSplit/>
        </w:trPr>
        <w:tc>
          <w:tcPr>
            <w:tcW w:type="dxa" w:w="2800"/>
            <w:vAlign w:val="center"/>
            <w:tcMar>
              <w:top w:w="70" w:type="dxa"/>
              <w:bottom w:w="70" w:type="dxa"/>
              <w:start w:w="100" w:type="dxa"/>
              <w:end w:w="100" w:type="dxa"/>
            </w:tcMar>
          </w:tcPr>
          <w:p>
            <w:pPr>
              <w:spacing w:after="0" w:line="247" w:lineRule="auto"/>
            </w:pPr>
            <w:r>
              <w:rPr>
                <w:rFonts w:ascii="Calibri" w:hAnsi="Calibri"/>
                <w:b w:val="0"/>
                <w:i w:val="0"/>
                <w:color w:val="0B2545"/>
                <w:sz w:val="16"/>
              </w:rPr>
              <w:t>Net annual income change</w:t>
            </w:r>
          </w:p>
        </w:tc>
        <w:tc>
          <w:tcPr>
            <w:tcW w:type="dxa" w:w="6560"/>
            <w:vAlign w:val="center"/>
            <w:tcMar>
              <w:top w:w="70" w:type="dxa"/>
              <w:bottom w:w="70" w:type="dxa"/>
              <w:start w:w="100" w:type="dxa"/>
              <w:end w:w="100" w:type="dxa"/>
            </w:tcMar>
          </w:tcPr>
          <w:p>
            <w:pPr>
              <w:spacing w:after="0" w:line="247" w:lineRule="auto"/>
            </w:pPr>
            <w:r>
              <w:rPr>
                <w:rFonts w:ascii="Calibri" w:hAnsi="Calibri"/>
                <w:b w:val="0"/>
                <w:i w:val="0"/>
                <w:color w:val="0B2545"/>
                <w:sz w:val="16"/>
              </w:rPr>
              <w:t>Annual income added − annual income surrendered.</w:t>
            </w:r>
          </w:p>
        </w:tc>
      </w:tr>
      <w:tr>
        <w:trPr>
          <w:cantSplit/>
        </w:trPr>
        <w:tc>
          <w:tcPr>
            <w:tcW w:type="dxa" w:w="2800"/>
            <w:vAlign w:val="center"/>
            <w:tcMar>
              <w:top w:w="70" w:type="dxa"/>
              <w:bottom w:w="70" w:type="dxa"/>
              <w:start w:w="100" w:type="dxa"/>
              <w:end w:w="100" w:type="dxa"/>
            </w:tcMar>
          </w:tcPr>
          <w:p>
            <w:pPr>
              <w:spacing w:after="0" w:line="247" w:lineRule="auto"/>
            </w:pPr>
            <w:r>
              <w:rPr>
                <w:rFonts w:ascii="Calibri" w:hAnsi="Calibri"/>
                <w:b w:val="0"/>
                <w:i w:val="0"/>
                <w:color w:val="0B2545"/>
                <w:sz w:val="16"/>
              </w:rPr>
              <w:t>Net monthly change</w:t>
            </w:r>
          </w:p>
        </w:tc>
        <w:tc>
          <w:tcPr>
            <w:tcW w:type="dxa" w:w="6560"/>
            <w:vAlign w:val="center"/>
            <w:tcMar>
              <w:top w:w="70" w:type="dxa"/>
              <w:bottom w:w="70" w:type="dxa"/>
              <w:start w:w="100" w:type="dxa"/>
              <w:end w:w="100" w:type="dxa"/>
            </w:tcMar>
          </w:tcPr>
          <w:p>
            <w:pPr>
              <w:spacing w:after="0" w:line="247" w:lineRule="auto"/>
            </w:pPr>
            <w:r>
              <w:rPr>
                <w:rFonts w:ascii="Calibri" w:hAnsi="Calibri"/>
                <w:b w:val="0"/>
                <w:i w:val="0"/>
                <w:color w:val="0B2545"/>
                <w:sz w:val="16"/>
              </w:rPr>
              <w:t>Net annual income change ÷ 12.</w:t>
            </w:r>
          </w:p>
        </w:tc>
      </w:tr>
      <w:tr>
        <w:trPr>
          <w:cantSplit/>
        </w:trPr>
        <w:tc>
          <w:tcPr>
            <w:tcW w:type="dxa" w:w="2800"/>
            <w:vAlign w:val="center"/>
            <w:tcMar>
              <w:top w:w="70" w:type="dxa"/>
              <w:bottom w:w="70" w:type="dxa"/>
              <w:start w:w="100" w:type="dxa"/>
              <w:end w:w="100" w:type="dxa"/>
            </w:tcMar>
          </w:tcPr>
          <w:p>
            <w:pPr>
              <w:spacing w:after="0" w:line="247" w:lineRule="auto"/>
            </w:pPr>
            <w:r>
              <w:rPr>
                <w:rFonts w:ascii="Calibri" w:hAnsi="Calibri"/>
                <w:b w:val="0"/>
                <w:i w:val="0"/>
                <w:color w:val="0B2545"/>
                <w:sz w:val="16"/>
              </w:rPr>
              <w:t>Net weekly equivalent</w:t>
            </w:r>
          </w:p>
        </w:tc>
        <w:tc>
          <w:tcPr>
            <w:tcW w:type="dxa" w:w="6560"/>
            <w:vAlign w:val="center"/>
            <w:tcMar>
              <w:top w:w="70" w:type="dxa"/>
              <w:bottom w:w="70" w:type="dxa"/>
              <w:start w:w="100" w:type="dxa"/>
              <w:end w:w="100" w:type="dxa"/>
            </w:tcMar>
          </w:tcPr>
          <w:p>
            <w:pPr>
              <w:spacing w:after="0" w:line="247" w:lineRule="auto"/>
            </w:pPr>
            <w:r>
              <w:rPr>
                <w:rFonts w:ascii="Calibri" w:hAnsi="Calibri"/>
                <w:b w:val="0"/>
                <w:i w:val="0"/>
                <w:color w:val="0B2545"/>
                <w:sz w:val="16"/>
              </w:rPr>
              <w:t>Net annual income change ÷ 52.</w:t>
            </w:r>
          </w:p>
        </w:tc>
      </w:tr>
      <w:tr>
        <w:trPr>
          <w:cantSplit/>
        </w:trPr>
        <w:tc>
          <w:tcPr>
            <w:tcW w:type="dxa" w:w="2800"/>
            <w:vAlign w:val="center"/>
            <w:tcMar>
              <w:top w:w="70" w:type="dxa"/>
              <w:bottom w:w="70" w:type="dxa"/>
              <w:start w:w="100" w:type="dxa"/>
              <w:end w:w="100" w:type="dxa"/>
            </w:tcMar>
          </w:tcPr>
          <w:p>
            <w:pPr>
              <w:spacing w:after="0" w:line="247" w:lineRule="auto"/>
            </w:pPr>
            <w:r>
              <w:rPr>
                <w:rFonts w:ascii="Calibri" w:hAnsi="Calibri"/>
                <w:b w:val="0"/>
                <w:i w:val="0"/>
                <w:color w:val="0B2545"/>
                <w:sz w:val="16"/>
              </w:rPr>
              <w:t>Gross basket forward yield</w:t>
            </w:r>
          </w:p>
        </w:tc>
        <w:tc>
          <w:tcPr>
            <w:tcW w:type="dxa" w:w="6560"/>
            <w:vAlign w:val="center"/>
            <w:tcMar>
              <w:top w:w="70" w:type="dxa"/>
              <w:bottom w:w="70" w:type="dxa"/>
              <w:start w:w="100" w:type="dxa"/>
              <w:end w:w="100" w:type="dxa"/>
            </w:tcMar>
          </w:tcPr>
          <w:p>
            <w:pPr>
              <w:spacing w:after="0" w:line="247" w:lineRule="auto"/>
            </w:pPr>
            <w:r>
              <w:rPr>
                <w:rFonts w:ascii="Calibri" w:hAnsi="Calibri"/>
                <w:b w:val="0"/>
                <w:i w:val="0"/>
                <w:color w:val="0B2545"/>
                <w:sz w:val="16"/>
              </w:rPr>
              <w:t>Annual income added ÷ purchase spend.</w:t>
            </w:r>
          </w:p>
        </w:tc>
      </w:tr>
      <w:tr>
        <w:trPr>
          <w:cantSplit/>
        </w:trPr>
        <w:tc>
          <w:tcPr>
            <w:tcW w:type="dxa" w:w="2800"/>
            <w:vAlign w:val="center"/>
            <w:tcMar>
              <w:top w:w="70" w:type="dxa"/>
              <w:bottom w:w="70" w:type="dxa"/>
              <w:start w:w="100" w:type="dxa"/>
              <w:end w:w="100" w:type="dxa"/>
            </w:tcMar>
          </w:tcPr>
          <w:p>
            <w:pPr>
              <w:spacing w:after="0" w:line="247" w:lineRule="auto"/>
            </w:pPr>
            <w:r>
              <w:rPr>
                <w:rFonts w:ascii="Calibri" w:hAnsi="Calibri"/>
                <w:b w:val="0"/>
                <w:i w:val="0"/>
                <w:color w:val="0B2545"/>
                <w:sz w:val="16"/>
              </w:rPr>
              <w:t>Net uplift on redeployed proceeds</w:t>
            </w:r>
          </w:p>
        </w:tc>
        <w:tc>
          <w:tcPr>
            <w:tcW w:type="dxa" w:w="6560"/>
            <w:vAlign w:val="center"/>
            <w:tcMar>
              <w:top w:w="70" w:type="dxa"/>
              <w:bottom w:w="70" w:type="dxa"/>
              <w:start w:w="100" w:type="dxa"/>
              <w:end w:w="100" w:type="dxa"/>
            </w:tcMar>
          </w:tcPr>
          <w:p>
            <w:pPr>
              <w:spacing w:after="0" w:line="247" w:lineRule="auto"/>
            </w:pPr>
            <w:r>
              <w:rPr>
                <w:rFonts w:ascii="Calibri" w:hAnsi="Calibri"/>
                <w:b w:val="0"/>
                <w:i w:val="0"/>
                <w:color w:val="0B2545"/>
                <w:sz w:val="16"/>
              </w:rPr>
              <w:t>Net annual income change ÷ gross sale proceeds; shown only for swap scenarios.</w:t>
            </w:r>
          </w:p>
        </w:tc>
      </w:tr>
      <w:tr>
        <w:trPr>
          <w:cantSplit/>
        </w:trPr>
        <w:tc>
          <w:tcPr>
            <w:tcW w:type="dxa" w:w="2800"/>
            <w:vAlign w:val="center"/>
            <w:tcMar>
              <w:top w:w="70" w:type="dxa"/>
              <w:bottom w:w="70" w:type="dxa"/>
              <w:start w:w="100" w:type="dxa"/>
              <w:end w:w="100" w:type="dxa"/>
            </w:tcMar>
          </w:tcPr>
          <w:p>
            <w:pPr>
              <w:spacing w:after="0" w:line="247" w:lineRule="auto"/>
            </w:pPr>
            <w:r>
              <w:rPr>
                <w:rFonts w:ascii="Calibri" w:hAnsi="Calibri"/>
                <w:b w:val="0"/>
                <w:i w:val="0"/>
                <w:color w:val="0B2545"/>
                <w:sz w:val="16"/>
              </w:rPr>
              <w:t>Estimated income break-even</w:t>
            </w:r>
          </w:p>
        </w:tc>
        <w:tc>
          <w:tcPr>
            <w:tcW w:type="dxa" w:w="6560"/>
            <w:vAlign w:val="center"/>
            <w:tcMar>
              <w:top w:w="70" w:type="dxa"/>
              <w:bottom w:w="70" w:type="dxa"/>
              <w:start w:w="100" w:type="dxa"/>
              <w:end w:w="100" w:type="dxa"/>
            </w:tcMar>
          </w:tcPr>
          <w:p>
            <w:pPr>
              <w:spacing w:after="0" w:line="247" w:lineRule="auto"/>
            </w:pPr>
            <w:r>
              <w:rPr>
                <w:rFonts w:ascii="Calibri" w:hAnsi="Calibri"/>
                <w:b w:val="0"/>
                <w:i w:val="0"/>
                <w:color w:val="0B2545"/>
                <w:sz w:val="16"/>
              </w:rPr>
              <w:t>Absolute realized capital loss attributable to the swap ÷ positive net monthly income increase. Label as a decision comparison, never as recovery of the realized loss.</w:t>
            </w:r>
          </w:p>
        </w:tc>
      </w:tr>
    </w:tbl>
    <w:p>
      <w:pPr>
        <w:spacing w:after="20"/>
      </w:pPr>
    </w:p>
    <w:p>
      <w:pPr>
        <w:pStyle w:val="Heading1"/>
      </w:pPr>
      <w:r>
        <w:t>5. Verified Highlighted Examples</w:t>
      </w:r>
    </w:p>
    <w:p>
      <w:pPr>
        <w:pStyle w:val="Heading2"/>
      </w:pPr>
      <w:r>
        <w:t>5.1 Completed Income and Roth purchases</w:t>
      </w:r>
    </w:p>
    <w:tbl>
      <w:tblPr>
        <w:tblStyle w:val="TableGrid"/>
        <w:tblW w:type="dxa" w:w="9360"/>
        <w:jc w:val="left"/>
        <w:tblLayout w:type="fixed"/>
        <w:tblLook w:firstColumn="1" w:firstRow="1" w:lastColumn="0" w:lastRow="0" w:noHBand="0" w:noVBand="1" w:val="04A0"/>
      </w:tblPr>
      <w:tblGrid>
        <w:gridCol w:w="2600"/>
        <w:gridCol w:w="1500"/>
        <w:gridCol w:w="1650"/>
        <w:gridCol w:w="1750"/>
        <w:gridCol w:w="1860"/>
      </w:tblGrid>
      <w:tr>
        <w:trPr>
          <w:tblHeader w:val="true"/>
          <w:cantSplit/>
        </w:trPr>
        <w:tc>
          <w:tcPr>
            <w:tcW w:type="dxa" w:w="2600"/>
            <w:shd w:fill="F2F4F7"/>
            <w:vAlign w:val="center"/>
            <w:tcMar>
              <w:top w:w="70" w:type="dxa"/>
              <w:bottom w:w="70" w:type="dxa"/>
              <w:start w:w="100" w:type="dxa"/>
              <w:end w:w="100" w:type="dxa"/>
            </w:tcMar>
          </w:tcPr>
          <w:p>
            <w:pPr>
              <w:spacing w:after="0"/>
            </w:pPr>
            <w:r>
              <w:rPr>
                <w:rFonts w:ascii="Calibri" w:hAnsi="Calibri"/>
                <w:b/>
                <w:i w:val="0"/>
                <w:color w:val="0B2545"/>
                <w:sz w:val="16"/>
              </w:rPr>
              <w:t>Account / purchase</w:t>
            </w:r>
          </w:p>
        </w:tc>
        <w:tc>
          <w:tcPr>
            <w:tcW w:type="dxa" w:w="1500"/>
            <w:shd w:fill="F2F4F7"/>
            <w:vAlign w:val="center"/>
            <w:tcMar>
              <w:top w:w="70" w:type="dxa"/>
              <w:bottom w:w="70" w:type="dxa"/>
              <w:start w:w="100" w:type="dxa"/>
              <w:end w:w="100" w:type="dxa"/>
            </w:tcMar>
          </w:tcPr>
          <w:p>
            <w:pPr>
              <w:spacing w:after="0"/>
            </w:pPr>
            <w:r>
              <w:rPr>
                <w:rFonts w:ascii="Calibri" w:hAnsi="Calibri"/>
                <w:b/>
                <w:i w:val="0"/>
                <w:color w:val="0B2545"/>
                <w:sz w:val="16"/>
              </w:rPr>
              <w:t>Funds used</w:t>
            </w:r>
          </w:p>
        </w:tc>
        <w:tc>
          <w:tcPr>
            <w:tcW w:type="dxa" w:w="1650"/>
            <w:shd w:fill="F2F4F7"/>
            <w:vAlign w:val="center"/>
            <w:tcMar>
              <w:top w:w="70" w:type="dxa"/>
              <w:bottom w:w="70" w:type="dxa"/>
              <w:start w:w="100" w:type="dxa"/>
              <w:end w:w="100" w:type="dxa"/>
            </w:tcMar>
          </w:tcPr>
          <w:p>
            <w:pPr>
              <w:spacing w:after="0"/>
            </w:pPr>
            <w:r>
              <w:rPr>
                <w:rFonts w:ascii="Calibri" w:hAnsi="Calibri"/>
                <w:b/>
                <w:i w:val="0"/>
                <w:color w:val="0B2545"/>
                <w:sz w:val="16"/>
              </w:rPr>
              <w:t>Annual income</w:t>
            </w:r>
          </w:p>
        </w:tc>
        <w:tc>
          <w:tcPr>
            <w:tcW w:type="dxa" w:w="1750"/>
            <w:shd w:fill="F2F4F7"/>
            <w:vAlign w:val="center"/>
            <w:tcMar>
              <w:top w:w="70" w:type="dxa"/>
              <w:bottom w:w="70" w:type="dxa"/>
              <w:start w:w="100" w:type="dxa"/>
              <w:end w:w="100" w:type="dxa"/>
            </w:tcMar>
          </w:tcPr>
          <w:p>
            <w:pPr>
              <w:spacing w:after="0"/>
            </w:pPr>
            <w:r>
              <w:rPr>
                <w:rFonts w:ascii="Calibri" w:hAnsi="Calibri"/>
                <w:b/>
                <w:i w:val="0"/>
                <w:color w:val="0B2545"/>
                <w:sz w:val="16"/>
              </w:rPr>
              <w:t>Monthly increase</w:t>
            </w:r>
          </w:p>
        </w:tc>
        <w:tc>
          <w:tcPr>
            <w:tcW w:type="dxa" w:w="1860"/>
            <w:shd w:fill="F2F4F7"/>
            <w:vAlign w:val="center"/>
            <w:tcMar>
              <w:top w:w="70" w:type="dxa"/>
              <w:bottom w:w="70" w:type="dxa"/>
              <w:start w:w="100" w:type="dxa"/>
              <w:end w:w="100" w:type="dxa"/>
            </w:tcMar>
          </w:tcPr>
          <w:p>
            <w:pPr>
              <w:spacing w:after="0"/>
            </w:pPr>
            <w:r>
              <w:rPr>
                <w:rFonts w:ascii="Calibri" w:hAnsi="Calibri"/>
                <w:b/>
                <w:i w:val="0"/>
                <w:color w:val="0B2545"/>
                <w:sz w:val="16"/>
              </w:rPr>
              <w:t>Classification</w:t>
            </w:r>
          </w:p>
        </w:tc>
      </w:tr>
      <w:tr>
        <w:trPr>
          <w:cantSplit/>
        </w:trPr>
        <w:tc>
          <w:tcPr>
            <w:tcW w:type="dxa" w:w="2600"/>
            <w:vAlign w:val="center"/>
            <w:tcMar>
              <w:top w:w="70" w:type="dxa"/>
              <w:bottom w:w="70" w:type="dxa"/>
              <w:start w:w="100" w:type="dxa"/>
              <w:end w:w="100" w:type="dxa"/>
            </w:tcMar>
          </w:tcPr>
          <w:p>
            <w:pPr>
              <w:spacing w:after="0" w:line="247" w:lineRule="auto"/>
            </w:pPr>
            <w:r>
              <w:rPr>
                <w:rFonts w:ascii="Calibri" w:hAnsi="Calibri"/>
                <w:b w:val="0"/>
                <w:i w:val="0"/>
                <w:color w:val="0B2545"/>
                <w:sz w:val="16"/>
              </w:rPr>
              <w:t>Income — 7 TOPW</w:t>
            </w:r>
          </w:p>
        </w:tc>
        <w:tc>
          <w:tcPr>
            <w:tcW w:type="dxa" w:w="1500"/>
            <w:vAlign w:val="center"/>
            <w:tcMar>
              <w:top w:w="70" w:type="dxa"/>
              <w:bottom w:w="70" w:type="dxa"/>
              <w:start w:w="100" w:type="dxa"/>
              <w:end w:w="100" w:type="dxa"/>
            </w:tcMar>
          </w:tcPr>
          <w:p>
            <w:pPr>
              <w:spacing w:after="0" w:line="247" w:lineRule="auto"/>
            </w:pPr>
            <w:r>
              <w:rPr>
                <w:rFonts w:ascii="Calibri" w:hAnsi="Calibri"/>
                <w:b w:val="0"/>
                <w:i w:val="0"/>
                <w:color w:val="0B2545"/>
                <w:sz w:val="16"/>
              </w:rPr>
              <w:t>$234.08</w:t>
            </w:r>
          </w:p>
        </w:tc>
        <w:tc>
          <w:tcPr>
            <w:tcW w:type="dxa" w:w="1650"/>
            <w:vAlign w:val="center"/>
            <w:tcMar>
              <w:top w:w="70" w:type="dxa"/>
              <w:bottom w:w="70" w:type="dxa"/>
              <w:start w:w="100" w:type="dxa"/>
              <w:end w:w="100" w:type="dxa"/>
            </w:tcMar>
          </w:tcPr>
          <w:p>
            <w:pPr>
              <w:spacing w:after="0" w:line="247" w:lineRule="auto"/>
            </w:pPr>
            <w:r>
              <w:rPr>
                <w:rFonts w:ascii="Calibri" w:hAnsi="Calibri"/>
                <w:b w:val="0"/>
                <w:i w:val="0"/>
                <w:color w:val="0B2545"/>
                <w:sz w:val="16"/>
              </w:rPr>
              <w:t>$91.00</w:t>
            </w:r>
          </w:p>
        </w:tc>
        <w:tc>
          <w:tcPr>
            <w:tcW w:type="dxa" w:w="1750"/>
            <w:vAlign w:val="center"/>
            <w:tcMar>
              <w:top w:w="70" w:type="dxa"/>
              <w:bottom w:w="70" w:type="dxa"/>
              <w:start w:w="100" w:type="dxa"/>
              <w:end w:w="100" w:type="dxa"/>
            </w:tcMar>
          </w:tcPr>
          <w:p>
            <w:pPr>
              <w:spacing w:after="0" w:line="247" w:lineRule="auto"/>
            </w:pPr>
            <w:r>
              <w:rPr>
                <w:rFonts w:ascii="Calibri" w:hAnsi="Calibri"/>
                <w:b w:val="0"/>
                <w:i w:val="0"/>
                <w:color w:val="0B2545"/>
                <w:sz w:val="16"/>
              </w:rPr>
              <w:t>$7.58</w:t>
            </w:r>
          </w:p>
        </w:tc>
        <w:tc>
          <w:tcPr>
            <w:tcW w:type="dxa" w:w="1860"/>
            <w:vAlign w:val="center"/>
            <w:tcMar>
              <w:top w:w="70" w:type="dxa"/>
              <w:bottom w:w="70" w:type="dxa"/>
              <w:start w:w="100" w:type="dxa"/>
              <w:end w:w="100" w:type="dxa"/>
            </w:tcMar>
          </w:tcPr>
          <w:p>
            <w:pPr>
              <w:spacing w:after="0" w:line="247" w:lineRule="auto"/>
            </w:pPr>
            <w:r>
              <w:rPr>
                <w:rFonts w:ascii="Calibri" w:hAnsi="Calibri"/>
                <w:b w:val="0"/>
                <w:i w:val="0"/>
                <w:color w:val="0B2545"/>
                <w:sz w:val="16"/>
              </w:rPr>
              <w:t>Core</w:t>
            </w:r>
          </w:p>
        </w:tc>
      </w:tr>
      <w:tr>
        <w:trPr>
          <w:cantSplit/>
        </w:trPr>
        <w:tc>
          <w:tcPr>
            <w:tcW w:type="dxa" w:w="2600"/>
            <w:vAlign w:val="center"/>
            <w:tcMar>
              <w:top w:w="70" w:type="dxa"/>
              <w:bottom w:w="70" w:type="dxa"/>
              <w:start w:w="100" w:type="dxa"/>
              <w:end w:w="100" w:type="dxa"/>
            </w:tcMar>
          </w:tcPr>
          <w:p>
            <w:pPr>
              <w:spacing w:after="0" w:line="247" w:lineRule="auto"/>
            </w:pPr>
            <w:r>
              <w:rPr>
                <w:rFonts w:ascii="Calibri" w:hAnsi="Calibri"/>
                <w:b w:val="0"/>
                <w:i w:val="0"/>
                <w:color w:val="0B2545"/>
                <w:sz w:val="16"/>
              </w:rPr>
              <w:t>Roth — 1 PLTW</w:t>
            </w:r>
          </w:p>
        </w:tc>
        <w:tc>
          <w:tcPr>
            <w:tcW w:type="dxa" w:w="1500"/>
            <w:vAlign w:val="center"/>
            <w:tcMar>
              <w:top w:w="70" w:type="dxa"/>
              <w:bottom w:w="70" w:type="dxa"/>
              <w:start w:w="100" w:type="dxa"/>
              <w:end w:w="100" w:type="dxa"/>
            </w:tcMar>
          </w:tcPr>
          <w:p>
            <w:pPr>
              <w:spacing w:after="0" w:line="247" w:lineRule="auto"/>
            </w:pPr>
            <w:r>
              <w:rPr>
                <w:rFonts w:ascii="Calibri" w:hAnsi="Calibri"/>
                <w:b w:val="0"/>
                <w:i w:val="0"/>
                <w:color w:val="0B2545"/>
                <w:sz w:val="16"/>
              </w:rPr>
              <w:t>$24.40</w:t>
            </w:r>
          </w:p>
        </w:tc>
        <w:tc>
          <w:tcPr>
            <w:tcW w:type="dxa" w:w="1650"/>
            <w:vAlign w:val="center"/>
            <w:tcMar>
              <w:top w:w="70" w:type="dxa"/>
              <w:bottom w:w="70" w:type="dxa"/>
              <w:start w:w="100" w:type="dxa"/>
              <w:end w:w="100" w:type="dxa"/>
            </w:tcMar>
          </w:tcPr>
          <w:p>
            <w:pPr>
              <w:spacing w:after="0" w:line="247" w:lineRule="auto"/>
            </w:pPr>
            <w:r>
              <w:rPr>
                <w:rFonts w:ascii="Calibri" w:hAnsi="Calibri"/>
                <w:b w:val="0"/>
                <w:i w:val="0"/>
                <w:color w:val="0B2545"/>
                <w:sz w:val="16"/>
              </w:rPr>
              <w:t>$9.36</w:t>
            </w:r>
          </w:p>
        </w:tc>
        <w:tc>
          <w:tcPr>
            <w:tcW w:type="dxa" w:w="1750"/>
            <w:vAlign w:val="center"/>
            <w:tcMar>
              <w:top w:w="70" w:type="dxa"/>
              <w:bottom w:w="70" w:type="dxa"/>
              <w:start w:w="100" w:type="dxa"/>
              <w:end w:w="100" w:type="dxa"/>
            </w:tcMar>
          </w:tcPr>
          <w:p>
            <w:pPr>
              <w:spacing w:after="0" w:line="247" w:lineRule="auto"/>
            </w:pPr>
            <w:r>
              <w:rPr>
                <w:rFonts w:ascii="Calibri" w:hAnsi="Calibri"/>
                <w:b w:val="0"/>
                <w:i w:val="0"/>
                <w:color w:val="0B2545"/>
                <w:sz w:val="16"/>
              </w:rPr>
              <w:t>$0.78</w:t>
            </w:r>
          </w:p>
        </w:tc>
        <w:tc>
          <w:tcPr>
            <w:tcW w:type="dxa" w:w="1860"/>
            <w:vAlign w:val="center"/>
            <w:tcMar>
              <w:top w:w="70" w:type="dxa"/>
              <w:bottom w:w="70" w:type="dxa"/>
              <w:start w:w="100" w:type="dxa"/>
              <w:end w:w="100" w:type="dxa"/>
            </w:tcMar>
          </w:tcPr>
          <w:p>
            <w:pPr>
              <w:spacing w:after="0" w:line="247" w:lineRule="auto"/>
            </w:pPr>
            <w:r>
              <w:rPr>
                <w:rFonts w:ascii="Calibri" w:hAnsi="Calibri"/>
                <w:b w:val="0"/>
                <w:i w:val="0"/>
                <w:color w:val="0B2545"/>
                <w:sz w:val="16"/>
              </w:rPr>
              <w:t>Risk On</w:t>
            </w:r>
          </w:p>
        </w:tc>
      </w:tr>
    </w:tbl>
    <w:p>
      <w:pPr>
        <w:spacing w:after="20"/>
      </w:pPr>
    </w:p>
    <w:p>
      <w:pPr>
        <w:pStyle w:val="SmallNote"/>
      </w:pPr>
      <w:r>
        <w:rPr>
          <w:rFonts w:ascii="Calibri" w:hAnsi="Calibri"/>
          <w:b w:val="0"/>
          <w:i w:val="0"/>
          <w:color w:val="5B6573"/>
          <w:sz w:val="18"/>
        </w:rPr>
        <w:t>The spreadsheet’s green fill serves as an informal execution flag. The target replaces color-as-data with explicit approval, fill, reconciliation and completion events while retaining visual status cues.</w:t>
      </w:r>
    </w:p>
    <w:p>
      <w:pPr>
        <w:pStyle w:val="Heading2"/>
      </w:pPr>
      <w:r>
        <w:t>5.2 EPD exit and four-tranche replacement</w:t>
      </w:r>
    </w:p>
    <w:tbl>
      <w:tblPr>
        <w:tblStyle w:val="TableGrid"/>
        <w:tblW w:type="dxa" w:w="9360"/>
        <w:jc w:val="left"/>
        <w:tblLayout w:type="fixed"/>
        <w:tblLook w:firstColumn="1" w:firstRow="1" w:lastColumn="0" w:lastRow="0" w:noHBand="0" w:noVBand="1" w:val="04A0"/>
      </w:tblPr>
      <w:tblGrid>
        <w:gridCol w:w="2500"/>
        <w:gridCol w:w="2100"/>
        <w:gridCol w:w="4760"/>
      </w:tblGrid>
      <w:tr>
        <w:trPr>
          <w:tblHeader w:val="true"/>
          <w:cantSplit/>
        </w:trPr>
        <w:tc>
          <w:tcPr>
            <w:tcW w:type="dxa" w:w="2500"/>
            <w:shd w:fill="F2F4F7"/>
            <w:vAlign w:val="center"/>
            <w:tcMar>
              <w:top w:w="70" w:type="dxa"/>
              <w:bottom w:w="70" w:type="dxa"/>
              <w:start w:w="100" w:type="dxa"/>
              <w:end w:w="100" w:type="dxa"/>
            </w:tcMar>
          </w:tcPr>
          <w:p>
            <w:pPr>
              <w:spacing w:after="0"/>
            </w:pPr>
            <w:r>
              <w:rPr>
                <w:rFonts w:ascii="Calibri" w:hAnsi="Calibri"/>
                <w:b/>
                <w:i w:val="0"/>
                <w:color w:val="0B2545"/>
                <w:sz w:val="16"/>
              </w:rPr>
              <w:t>Observed metric</w:t>
            </w:r>
          </w:p>
        </w:tc>
        <w:tc>
          <w:tcPr>
            <w:tcW w:type="dxa" w:w="2100"/>
            <w:shd w:fill="F2F4F7"/>
            <w:vAlign w:val="center"/>
            <w:tcMar>
              <w:top w:w="70" w:type="dxa"/>
              <w:bottom w:w="70" w:type="dxa"/>
              <w:start w:w="100" w:type="dxa"/>
              <w:end w:w="100" w:type="dxa"/>
            </w:tcMar>
          </w:tcPr>
          <w:p>
            <w:pPr>
              <w:spacing w:after="0"/>
            </w:pPr>
            <w:r>
              <w:rPr>
                <w:rFonts w:ascii="Calibri" w:hAnsi="Calibri"/>
                <w:b/>
                <w:i w:val="0"/>
                <w:color w:val="0B2545"/>
                <w:sz w:val="16"/>
              </w:rPr>
              <w:t>Value</w:t>
            </w:r>
          </w:p>
        </w:tc>
        <w:tc>
          <w:tcPr>
            <w:tcW w:type="dxa" w:w="4760"/>
            <w:shd w:fill="F2F4F7"/>
            <w:vAlign w:val="center"/>
            <w:tcMar>
              <w:top w:w="70" w:type="dxa"/>
              <w:bottom w:w="70" w:type="dxa"/>
              <w:start w:w="100" w:type="dxa"/>
              <w:end w:w="100" w:type="dxa"/>
            </w:tcMar>
          </w:tcPr>
          <w:p>
            <w:pPr>
              <w:spacing w:after="0"/>
            </w:pPr>
            <w:r>
              <w:rPr>
                <w:rFonts w:ascii="Calibri" w:hAnsi="Calibri"/>
                <w:b/>
                <w:i w:val="0"/>
                <w:color w:val="0B2545"/>
                <w:sz w:val="16"/>
              </w:rPr>
              <w:t>Target interpretation</w:t>
            </w:r>
          </w:p>
        </w:tc>
      </w:tr>
      <w:tr>
        <w:trPr>
          <w:cantSplit/>
        </w:trPr>
        <w:tc>
          <w:tcPr>
            <w:tcW w:type="dxa" w:w="2500"/>
            <w:vAlign w:val="center"/>
            <w:tcMar>
              <w:top w:w="70" w:type="dxa"/>
              <w:bottom w:w="70" w:type="dxa"/>
              <w:start w:w="100" w:type="dxa"/>
              <w:end w:w="100" w:type="dxa"/>
            </w:tcMar>
          </w:tcPr>
          <w:p>
            <w:pPr>
              <w:spacing w:after="0" w:line="247" w:lineRule="auto"/>
            </w:pPr>
            <w:r>
              <w:rPr>
                <w:rFonts w:ascii="Calibri" w:hAnsi="Calibri"/>
                <w:b w:val="0"/>
                <w:i w:val="0"/>
                <w:color w:val="0B2545"/>
                <w:sz w:val="16"/>
              </w:rPr>
              <w:t>EPD quantity</w:t>
            </w:r>
          </w:p>
        </w:tc>
        <w:tc>
          <w:tcPr>
            <w:tcW w:type="dxa" w:w="2100"/>
            <w:vAlign w:val="center"/>
            <w:tcMar>
              <w:top w:w="70" w:type="dxa"/>
              <w:bottom w:w="70" w:type="dxa"/>
              <w:start w:w="100" w:type="dxa"/>
              <w:end w:w="100" w:type="dxa"/>
            </w:tcMar>
          </w:tcPr>
          <w:p>
            <w:pPr>
              <w:spacing w:after="0" w:line="247" w:lineRule="auto"/>
            </w:pPr>
            <w:r>
              <w:rPr>
                <w:rFonts w:ascii="Calibri" w:hAnsi="Calibri"/>
                <w:b w:val="0"/>
                <w:i w:val="0"/>
                <w:color w:val="0B2545"/>
                <w:sz w:val="16"/>
              </w:rPr>
              <w:t>117 shares</w:t>
            </w:r>
          </w:p>
        </w:tc>
        <w:tc>
          <w:tcPr>
            <w:tcW w:type="dxa" w:w="4760"/>
            <w:vAlign w:val="center"/>
            <w:tcMar>
              <w:top w:w="70" w:type="dxa"/>
              <w:bottom w:w="70" w:type="dxa"/>
              <w:start w:w="100" w:type="dxa"/>
              <w:end w:w="100" w:type="dxa"/>
            </w:tcMar>
          </w:tcPr>
          <w:p>
            <w:pPr>
              <w:spacing w:after="0" w:line="247" w:lineRule="auto"/>
            </w:pPr>
            <w:r>
              <w:rPr>
                <w:rFonts w:ascii="Calibri" w:hAnsi="Calibri"/>
                <w:b w:val="0"/>
                <w:i w:val="0"/>
                <w:color w:val="0B2545"/>
                <w:sz w:val="16"/>
              </w:rPr>
              <w:t>Explicit selected lots; never inferred by FIFO.</w:t>
            </w:r>
          </w:p>
        </w:tc>
      </w:tr>
      <w:tr>
        <w:trPr>
          <w:cantSplit/>
        </w:trPr>
        <w:tc>
          <w:tcPr>
            <w:tcW w:type="dxa" w:w="2500"/>
            <w:vAlign w:val="center"/>
            <w:tcMar>
              <w:top w:w="70" w:type="dxa"/>
              <w:bottom w:w="70" w:type="dxa"/>
              <w:start w:w="100" w:type="dxa"/>
              <w:end w:w="100" w:type="dxa"/>
            </w:tcMar>
          </w:tcPr>
          <w:p>
            <w:pPr>
              <w:spacing w:after="0" w:line="247" w:lineRule="auto"/>
            </w:pPr>
            <w:r>
              <w:rPr>
                <w:rFonts w:ascii="Calibri" w:hAnsi="Calibri"/>
                <w:b w:val="0"/>
                <w:i w:val="0"/>
                <w:color w:val="0B2545"/>
                <w:sz w:val="16"/>
              </w:rPr>
              <w:t>Original cost</w:t>
            </w:r>
          </w:p>
        </w:tc>
        <w:tc>
          <w:tcPr>
            <w:tcW w:type="dxa" w:w="2100"/>
            <w:vAlign w:val="center"/>
            <w:tcMar>
              <w:top w:w="70" w:type="dxa"/>
              <w:bottom w:w="70" w:type="dxa"/>
              <w:start w:w="100" w:type="dxa"/>
              <w:end w:w="100" w:type="dxa"/>
            </w:tcMar>
          </w:tcPr>
          <w:p>
            <w:pPr>
              <w:spacing w:after="0" w:line="247" w:lineRule="auto"/>
            </w:pPr>
            <w:r>
              <w:rPr>
                <w:rFonts w:ascii="Calibri" w:hAnsi="Calibri"/>
                <w:b w:val="0"/>
                <w:i w:val="0"/>
                <w:color w:val="0B2545"/>
                <w:sz w:val="16"/>
              </w:rPr>
              <w:t>$2,977.75</w:t>
            </w:r>
          </w:p>
        </w:tc>
        <w:tc>
          <w:tcPr>
            <w:tcW w:type="dxa" w:w="4760"/>
            <w:vAlign w:val="center"/>
            <w:tcMar>
              <w:top w:w="70" w:type="dxa"/>
              <w:bottom w:w="70" w:type="dxa"/>
              <w:start w:w="100" w:type="dxa"/>
              <w:end w:w="100" w:type="dxa"/>
            </w:tcMar>
          </w:tcPr>
          <w:p>
            <w:pPr>
              <w:spacing w:after="0" w:line="247" w:lineRule="auto"/>
            </w:pPr>
            <w:r>
              <w:rPr>
                <w:rFonts w:ascii="Calibri" w:hAnsi="Calibri"/>
                <w:b w:val="0"/>
                <w:i w:val="0"/>
                <w:color w:val="0B2545"/>
                <w:sz w:val="16"/>
              </w:rPr>
              <w:t>Actual-price-paid performance basis.</w:t>
            </w:r>
          </w:p>
        </w:tc>
      </w:tr>
      <w:tr>
        <w:trPr>
          <w:cantSplit/>
        </w:trPr>
        <w:tc>
          <w:tcPr>
            <w:tcW w:type="dxa" w:w="2500"/>
            <w:vAlign w:val="center"/>
            <w:tcMar>
              <w:top w:w="70" w:type="dxa"/>
              <w:bottom w:w="70" w:type="dxa"/>
              <w:start w:w="100" w:type="dxa"/>
              <w:end w:w="100" w:type="dxa"/>
            </w:tcMar>
          </w:tcPr>
          <w:p>
            <w:pPr>
              <w:spacing w:after="0" w:line="247" w:lineRule="auto"/>
            </w:pPr>
            <w:r>
              <w:rPr>
                <w:rFonts w:ascii="Calibri" w:hAnsi="Calibri"/>
                <w:b w:val="0"/>
                <w:i w:val="0"/>
                <w:color w:val="0B2545"/>
                <w:sz w:val="16"/>
              </w:rPr>
              <w:t>Sale proceeds</w:t>
            </w:r>
          </w:p>
        </w:tc>
        <w:tc>
          <w:tcPr>
            <w:tcW w:type="dxa" w:w="2100"/>
            <w:vAlign w:val="center"/>
            <w:tcMar>
              <w:top w:w="70" w:type="dxa"/>
              <w:bottom w:w="70" w:type="dxa"/>
              <w:start w:w="100" w:type="dxa"/>
              <w:end w:w="100" w:type="dxa"/>
            </w:tcMar>
          </w:tcPr>
          <w:p>
            <w:pPr>
              <w:spacing w:after="0" w:line="247" w:lineRule="auto"/>
            </w:pPr>
            <w:r>
              <w:rPr>
                <w:rFonts w:ascii="Calibri" w:hAnsi="Calibri"/>
                <w:b w:val="0"/>
                <w:i w:val="0"/>
                <w:color w:val="0B2545"/>
                <w:sz w:val="16"/>
              </w:rPr>
              <w:t>$4,405.05</w:t>
            </w:r>
          </w:p>
        </w:tc>
        <w:tc>
          <w:tcPr>
            <w:tcW w:type="dxa" w:w="4760"/>
            <w:vAlign w:val="center"/>
            <w:tcMar>
              <w:top w:w="70" w:type="dxa"/>
              <w:bottom w:w="70" w:type="dxa"/>
              <w:start w:w="100" w:type="dxa"/>
              <w:end w:w="100" w:type="dxa"/>
            </w:tcMar>
          </w:tcPr>
          <w:p>
            <w:pPr>
              <w:spacing w:after="0" w:line="247" w:lineRule="auto"/>
            </w:pPr>
            <w:r>
              <w:rPr>
                <w:rFonts w:ascii="Calibri" w:hAnsi="Calibri"/>
                <w:b w:val="0"/>
                <w:i w:val="0"/>
                <w:color w:val="0B2545"/>
                <w:sz w:val="16"/>
              </w:rPr>
              <w:t>Funding available for replacement purchases.</w:t>
            </w:r>
          </w:p>
        </w:tc>
      </w:tr>
      <w:tr>
        <w:trPr>
          <w:cantSplit/>
        </w:trPr>
        <w:tc>
          <w:tcPr>
            <w:tcW w:type="dxa" w:w="2500"/>
            <w:vAlign w:val="center"/>
            <w:tcMar>
              <w:top w:w="70" w:type="dxa"/>
              <w:bottom w:w="70" w:type="dxa"/>
              <w:start w:w="100" w:type="dxa"/>
              <w:end w:w="100" w:type="dxa"/>
            </w:tcMar>
          </w:tcPr>
          <w:p>
            <w:pPr>
              <w:spacing w:after="0" w:line="247" w:lineRule="auto"/>
            </w:pPr>
            <w:r>
              <w:rPr>
                <w:rFonts w:ascii="Calibri" w:hAnsi="Calibri"/>
                <w:b w:val="0"/>
                <w:i w:val="0"/>
                <w:color w:val="0B2545"/>
                <w:sz w:val="16"/>
              </w:rPr>
              <w:t>Realized gain</w:t>
            </w:r>
          </w:p>
        </w:tc>
        <w:tc>
          <w:tcPr>
            <w:tcW w:type="dxa" w:w="2100"/>
            <w:vAlign w:val="center"/>
            <w:tcMar>
              <w:top w:w="70" w:type="dxa"/>
              <w:bottom w:w="70" w:type="dxa"/>
              <w:start w:w="100" w:type="dxa"/>
              <w:end w:w="100" w:type="dxa"/>
            </w:tcMar>
          </w:tcPr>
          <w:p>
            <w:pPr>
              <w:spacing w:after="0" w:line="247" w:lineRule="auto"/>
            </w:pPr>
            <w:r>
              <w:rPr>
                <w:rFonts w:ascii="Calibri" w:hAnsi="Calibri"/>
                <w:b w:val="0"/>
                <w:i w:val="0"/>
                <w:color w:val="0B2545"/>
                <w:sz w:val="16"/>
              </w:rPr>
              <w:t>$1,427.30</w:t>
            </w:r>
          </w:p>
        </w:tc>
        <w:tc>
          <w:tcPr>
            <w:tcW w:type="dxa" w:w="4760"/>
            <w:vAlign w:val="center"/>
            <w:tcMar>
              <w:top w:w="70" w:type="dxa"/>
              <w:bottom w:w="70" w:type="dxa"/>
              <w:start w:w="100" w:type="dxa"/>
              <w:end w:w="100" w:type="dxa"/>
            </w:tcMar>
          </w:tcPr>
          <w:p>
            <w:pPr>
              <w:spacing w:after="0" w:line="247" w:lineRule="auto"/>
            </w:pPr>
            <w:r>
              <w:rPr>
                <w:rFonts w:ascii="Calibri" w:hAnsi="Calibri"/>
                <w:b w:val="0"/>
                <w:i w:val="0"/>
                <w:color w:val="0B2545"/>
                <w:sz w:val="16"/>
              </w:rPr>
              <w:t>Ledger-reconciled lot-sale P/L.</w:t>
            </w:r>
          </w:p>
        </w:tc>
      </w:tr>
      <w:tr>
        <w:trPr>
          <w:cantSplit/>
        </w:trPr>
        <w:tc>
          <w:tcPr>
            <w:tcW w:type="dxa" w:w="2500"/>
            <w:vAlign w:val="center"/>
            <w:tcMar>
              <w:top w:w="70" w:type="dxa"/>
              <w:bottom w:w="70" w:type="dxa"/>
              <w:start w:w="100" w:type="dxa"/>
              <w:end w:w="100" w:type="dxa"/>
            </w:tcMar>
          </w:tcPr>
          <w:p>
            <w:pPr>
              <w:spacing w:after="0" w:line="247" w:lineRule="auto"/>
            </w:pPr>
            <w:r>
              <w:rPr>
                <w:rFonts w:ascii="Calibri" w:hAnsi="Calibri"/>
                <w:b w:val="0"/>
                <w:i w:val="0"/>
                <w:color w:val="0B2545"/>
                <w:sz w:val="16"/>
              </w:rPr>
              <w:t>Annual income surrendered</w:t>
            </w:r>
          </w:p>
        </w:tc>
        <w:tc>
          <w:tcPr>
            <w:tcW w:type="dxa" w:w="2100"/>
            <w:vAlign w:val="center"/>
            <w:tcMar>
              <w:top w:w="70" w:type="dxa"/>
              <w:bottom w:w="70" w:type="dxa"/>
              <w:start w:w="100" w:type="dxa"/>
              <w:end w:w="100" w:type="dxa"/>
            </w:tcMar>
          </w:tcPr>
          <w:p>
            <w:pPr>
              <w:spacing w:after="0" w:line="247" w:lineRule="auto"/>
            </w:pPr>
            <w:r>
              <w:rPr>
                <w:rFonts w:ascii="Calibri" w:hAnsi="Calibri"/>
                <w:b w:val="0"/>
                <w:i w:val="0"/>
                <w:color w:val="0B2545"/>
                <w:sz w:val="16"/>
              </w:rPr>
              <w:t>$257.40</w:t>
            </w:r>
          </w:p>
        </w:tc>
        <w:tc>
          <w:tcPr>
            <w:tcW w:type="dxa" w:w="4760"/>
            <w:vAlign w:val="center"/>
            <w:tcMar>
              <w:top w:w="70" w:type="dxa"/>
              <w:bottom w:w="70" w:type="dxa"/>
              <w:start w:w="100" w:type="dxa"/>
              <w:end w:w="100" w:type="dxa"/>
            </w:tcMar>
          </w:tcPr>
          <w:p>
            <w:pPr>
              <w:spacing w:after="0" w:line="247" w:lineRule="auto"/>
            </w:pPr>
            <w:r>
              <w:rPr>
                <w:rFonts w:ascii="Calibri" w:hAnsi="Calibri"/>
                <w:b w:val="0"/>
                <w:i w:val="0"/>
                <w:color w:val="0B2545"/>
                <w:sz w:val="16"/>
              </w:rPr>
              <w:t>EPD plan snapshot; $21.45 monthly equivalent.</w:t>
            </w:r>
          </w:p>
        </w:tc>
      </w:tr>
      <w:tr>
        <w:trPr>
          <w:cantSplit/>
        </w:trPr>
        <w:tc>
          <w:tcPr>
            <w:tcW w:type="dxa" w:w="2500"/>
            <w:vAlign w:val="center"/>
            <w:tcMar>
              <w:top w:w="70" w:type="dxa"/>
              <w:bottom w:w="70" w:type="dxa"/>
              <w:start w:w="100" w:type="dxa"/>
              <w:end w:w="100" w:type="dxa"/>
            </w:tcMar>
          </w:tcPr>
          <w:p>
            <w:pPr>
              <w:spacing w:after="0" w:line="247" w:lineRule="auto"/>
            </w:pPr>
            <w:r>
              <w:rPr>
                <w:rFonts w:ascii="Calibri" w:hAnsi="Calibri"/>
                <w:b w:val="0"/>
                <w:i w:val="0"/>
                <w:color w:val="0B2545"/>
                <w:sz w:val="16"/>
              </w:rPr>
              <w:t>Replacement annual income</w:t>
            </w:r>
          </w:p>
        </w:tc>
        <w:tc>
          <w:tcPr>
            <w:tcW w:type="dxa" w:w="2100"/>
            <w:vAlign w:val="center"/>
            <w:tcMar>
              <w:top w:w="70" w:type="dxa"/>
              <w:bottom w:w="70" w:type="dxa"/>
              <w:start w:w="100" w:type="dxa"/>
              <w:end w:w="100" w:type="dxa"/>
            </w:tcMar>
          </w:tcPr>
          <w:p>
            <w:pPr>
              <w:spacing w:after="0" w:line="247" w:lineRule="auto"/>
            </w:pPr>
            <w:r>
              <w:rPr>
                <w:rFonts w:ascii="Calibri" w:hAnsi="Calibri"/>
                <w:b w:val="0"/>
                <w:i w:val="0"/>
                <w:color w:val="0B2545"/>
                <w:sz w:val="16"/>
              </w:rPr>
              <w:t>$931.83</w:t>
            </w:r>
          </w:p>
        </w:tc>
        <w:tc>
          <w:tcPr>
            <w:tcW w:type="dxa" w:w="4760"/>
            <w:vAlign w:val="center"/>
            <w:tcMar>
              <w:top w:w="70" w:type="dxa"/>
              <w:bottom w:w="70" w:type="dxa"/>
              <w:start w:w="100" w:type="dxa"/>
              <w:end w:w="100" w:type="dxa"/>
            </w:tcMar>
          </w:tcPr>
          <w:p>
            <w:pPr>
              <w:spacing w:after="0" w:line="247" w:lineRule="auto"/>
            </w:pPr>
            <w:r>
              <w:rPr>
                <w:rFonts w:ascii="Calibri" w:hAnsi="Calibri"/>
                <w:b w:val="0"/>
                <w:i w:val="0"/>
                <w:color w:val="0B2545"/>
                <w:sz w:val="16"/>
              </w:rPr>
              <w:t>Planned income from the replacement basket.</w:t>
            </w:r>
          </w:p>
        </w:tc>
      </w:tr>
      <w:tr>
        <w:trPr>
          <w:cantSplit/>
        </w:trPr>
        <w:tc>
          <w:tcPr>
            <w:tcW w:type="dxa" w:w="2500"/>
            <w:vAlign w:val="center"/>
            <w:tcMar>
              <w:top w:w="70" w:type="dxa"/>
              <w:bottom w:w="70" w:type="dxa"/>
              <w:start w:w="100" w:type="dxa"/>
              <w:end w:w="100" w:type="dxa"/>
            </w:tcMar>
          </w:tcPr>
          <w:p>
            <w:pPr>
              <w:spacing w:after="0" w:line="247" w:lineRule="auto"/>
            </w:pPr>
            <w:r>
              <w:rPr>
                <w:rFonts w:ascii="Calibri" w:hAnsi="Calibri"/>
                <w:b w:val="0"/>
                <w:i w:val="0"/>
                <w:color w:val="0B2545"/>
                <w:sz w:val="16"/>
              </w:rPr>
              <w:t>Net income increase</w:t>
            </w:r>
          </w:p>
        </w:tc>
        <w:tc>
          <w:tcPr>
            <w:tcW w:type="dxa" w:w="2100"/>
            <w:vAlign w:val="center"/>
            <w:tcMar>
              <w:top w:w="70" w:type="dxa"/>
              <w:bottom w:w="70" w:type="dxa"/>
              <w:start w:w="100" w:type="dxa"/>
              <w:end w:w="100" w:type="dxa"/>
            </w:tcMar>
          </w:tcPr>
          <w:p>
            <w:pPr>
              <w:spacing w:after="0" w:line="247" w:lineRule="auto"/>
            </w:pPr>
            <w:r>
              <w:rPr>
                <w:rFonts w:ascii="Calibri" w:hAnsi="Calibri"/>
                <w:b w:val="0"/>
                <w:i w:val="0"/>
                <w:color w:val="0B2545"/>
                <w:sz w:val="16"/>
              </w:rPr>
              <w:t>$674.43 annual / $56.20 monthly</w:t>
            </w:r>
          </w:p>
        </w:tc>
        <w:tc>
          <w:tcPr>
            <w:tcW w:type="dxa" w:w="4760"/>
            <w:vAlign w:val="center"/>
            <w:tcMar>
              <w:top w:w="70" w:type="dxa"/>
              <w:bottom w:w="70" w:type="dxa"/>
              <w:start w:w="100" w:type="dxa"/>
              <w:end w:w="100" w:type="dxa"/>
            </w:tcMar>
          </w:tcPr>
          <w:p>
            <w:pPr>
              <w:spacing w:after="0" w:line="247" w:lineRule="auto"/>
            </w:pPr>
            <w:r>
              <w:rPr>
                <w:rFonts w:ascii="Calibri" w:hAnsi="Calibri"/>
                <w:b w:val="0"/>
                <w:i w:val="0"/>
                <w:color w:val="0B2545"/>
                <w:sz w:val="16"/>
              </w:rPr>
              <w:t>Replacement income less income surrendered.</w:t>
            </w:r>
          </w:p>
        </w:tc>
      </w:tr>
      <w:tr>
        <w:trPr>
          <w:cantSplit/>
        </w:trPr>
        <w:tc>
          <w:tcPr>
            <w:tcW w:type="dxa" w:w="2500"/>
            <w:vAlign w:val="center"/>
            <w:tcMar>
              <w:top w:w="70" w:type="dxa"/>
              <w:bottom w:w="70" w:type="dxa"/>
              <w:start w:w="100" w:type="dxa"/>
              <w:end w:w="100" w:type="dxa"/>
            </w:tcMar>
          </w:tcPr>
          <w:p>
            <w:pPr>
              <w:spacing w:after="0" w:line="247" w:lineRule="auto"/>
            </w:pPr>
            <w:r>
              <w:rPr>
                <w:rFonts w:ascii="Calibri" w:hAnsi="Calibri"/>
                <w:b w:val="0"/>
                <w:i w:val="0"/>
                <w:color w:val="0B2545"/>
                <w:sz w:val="16"/>
              </w:rPr>
              <w:t>Unallocated proceeds</w:t>
            </w:r>
          </w:p>
        </w:tc>
        <w:tc>
          <w:tcPr>
            <w:tcW w:type="dxa" w:w="2100"/>
            <w:vAlign w:val="center"/>
            <w:tcMar>
              <w:top w:w="70" w:type="dxa"/>
              <w:bottom w:w="70" w:type="dxa"/>
              <w:start w:w="100" w:type="dxa"/>
              <w:end w:w="100" w:type="dxa"/>
            </w:tcMar>
          </w:tcPr>
          <w:p>
            <w:pPr>
              <w:spacing w:after="0" w:line="247" w:lineRule="auto"/>
            </w:pPr>
            <w:r>
              <w:rPr>
                <w:rFonts w:ascii="Calibri" w:hAnsi="Calibri"/>
                <w:b w:val="0"/>
                <w:i w:val="0"/>
                <w:color w:val="0B2545"/>
                <w:sz w:val="16"/>
              </w:rPr>
              <w:t>Approximately $18.95</w:t>
            </w:r>
          </w:p>
        </w:tc>
        <w:tc>
          <w:tcPr>
            <w:tcW w:type="dxa" w:w="4760"/>
            <w:vAlign w:val="center"/>
            <w:tcMar>
              <w:top w:w="70" w:type="dxa"/>
              <w:bottom w:w="70" w:type="dxa"/>
              <w:start w:w="100" w:type="dxa"/>
              <w:end w:w="100" w:type="dxa"/>
            </w:tcMar>
          </w:tcPr>
          <w:p>
            <w:pPr>
              <w:spacing w:after="0" w:line="247" w:lineRule="auto"/>
            </w:pPr>
            <w:r>
              <w:rPr>
                <w:rFonts w:ascii="Calibri" w:hAnsi="Calibri"/>
                <w:b w:val="0"/>
                <w:i w:val="0"/>
                <w:color w:val="0B2545"/>
                <w:sz w:val="16"/>
              </w:rPr>
              <w:t>Cash remaining after planned purchases.</w:t>
            </w:r>
          </w:p>
        </w:tc>
      </w:tr>
      <w:tr>
        <w:trPr>
          <w:cantSplit/>
        </w:trPr>
        <w:tc>
          <w:tcPr>
            <w:tcW w:type="dxa" w:w="2500"/>
            <w:vAlign w:val="center"/>
            <w:tcMar>
              <w:top w:w="70" w:type="dxa"/>
              <w:bottom w:w="70" w:type="dxa"/>
              <w:start w:w="100" w:type="dxa"/>
              <w:end w:w="100" w:type="dxa"/>
            </w:tcMar>
          </w:tcPr>
          <w:p>
            <w:pPr>
              <w:spacing w:after="0" w:line="247" w:lineRule="auto"/>
            </w:pPr>
            <w:r>
              <w:rPr>
                <w:rFonts w:ascii="Calibri" w:hAnsi="Calibri"/>
                <w:b w:val="0"/>
                <w:i w:val="0"/>
                <w:color w:val="0B2545"/>
                <w:sz w:val="16"/>
              </w:rPr>
              <w:t>Gross replacement income rate</w:t>
            </w:r>
          </w:p>
        </w:tc>
        <w:tc>
          <w:tcPr>
            <w:tcW w:type="dxa" w:w="2100"/>
            <w:vAlign w:val="center"/>
            <w:tcMar>
              <w:top w:w="70" w:type="dxa"/>
              <w:bottom w:w="70" w:type="dxa"/>
              <w:start w:w="100" w:type="dxa"/>
              <w:end w:w="100" w:type="dxa"/>
            </w:tcMar>
          </w:tcPr>
          <w:p>
            <w:pPr>
              <w:spacing w:after="0" w:line="247" w:lineRule="auto"/>
            </w:pPr>
            <w:r>
              <w:rPr>
                <w:rFonts w:ascii="Calibri" w:hAnsi="Calibri"/>
                <w:b w:val="0"/>
                <w:i w:val="0"/>
                <w:color w:val="0B2545"/>
                <w:sz w:val="16"/>
              </w:rPr>
              <w:t>Approximately 21.15%</w:t>
            </w:r>
          </w:p>
        </w:tc>
        <w:tc>
          <w:tcPr>
            <w:tcW w:type="dxa" w:w="4760"/>
            <w:vAlign w:val="center"/>
            <w:tcMar>
              <w:top w:w="70" w:type="dxa"/>
              <w:bottom w:w="70" w:type="dxa"/>
              <w:start w:w="100" w:type="dxa"/>
              <w:end w:w="100" w:type="dxa"/>
            </w:tcMar>
          </w:tcPr>
          <w:p>
            <w:pPr>
              <w:spacing w:after="0" w:line="247" w:lineRule="auto"/>
            </w:pPr>
            <w:r>
              <w:rPr>
                <w:rFonts w:ascii="Calibri" w:hAnsi="Calibri"/>
                <w:b w:val="0"/>
                <w:i w:val="0"/>
                <w:color w:val="0B2545"/>
                <w:sz w:val="16"/>
              </w:rPr>
              <w:t>Replacement annual income divided by sale proceeds.</w:t>
            </w:r>
          </w:p>
        </w:tc>
      </w:tr>
    </w:tbl>
    <w:p>
      <w:pPr>
        <w:spacing w:after="20"/>
      </w:pPr>
    </w:p>
    <w:tbl>
      <w:tblPr>
        <w:tblStyle w:val="TableGrid"/>
        <w:tblW w:type="dxa" w:w="9360"/>
        <w:jc w:val="left"/>
        <w:tblLayout w:type="fixed"/>
        <w:tblLook w:firstColumn="1" w:firstRow="1" w:lastColumn="0" w:lastRow="0" w:noHBand="0" w:noVBand="1" w:val="04A0"/>
      </w:tblPr>
      <w:tblGrid>
        <w:gridCol w:w="9360"/>
      </w:tblGrid>
      <w:tr>
        <w:trPr>
          <w:cantSplit/>
        </w:trPr>
        <w:tc>
          <w:tcPr>
            <w:tcW w:type="dxa" w:w="9360"/>
            <w:vAlign w:val="center"/>
            <w:tcMar>
              <w:top w:w="110" w:type="dxa"/>
              <w:bottom w:w="110" w:type="dxa"/>
              <w:start w:w="120" w:type="dxa"/>
              <w:end w:w="120" w:type="dxa"/>
            </w:tcMar>
            <w:shd w:fill="FCE4D6"/>
          </w:tcPr>
          <w:p>
            <w:pPr>
              <w:spacing w:after="0"/>
            </w:pPr>
            <w:r>
              <w:rPr>
                <w:rFonts w:ascii="Calibri" w:hAnsi="Calibri"/>
                <w:b/>
                <w:i w:val="0"/>
                <w:color w:val="1F4D78"/>
                <w:sz w:val="22"/>
              </w:rPr>
              <w:t xml:space="preserve">Reconciliation gap: </w:t>
            </w:r>
            <w:r>
              <w:rPr>
                <w:rFonts w:ascii="Calibri" w:hAnsi="Calibri"/>
                <w:b w:val="0"/>
                <w:i w:val="0"/>
                <w:color w:val="1F4D78"/>
                <w:sz w:val="22"/>
              </w:rPr>
              <w:t>The four manually recorded monthly plan increases—$9.24, $17.50, $25.65 and $19.41—sum to $71.80, while the detailed basket produces a $56.20 net monthly increase. The workbook does not reconcile the difference. The application must calculate the Income Plan change from reconciled transaction lines and surface any remaining variance instead of accepting both totals.</w:t>
            </w:r>
          </w:p>
        </w:tc>
      </w:tr>
    </w:tbl>
    <w:p>
      <w:pPr>
        <w:spacing w:after="20"/>
      </w:pPr>
    </w:p>
    <w:p>
      <w:pPr>
        <w:pStyle w:val="Heading2"/>
      </w:pPr>
      <w:r>
        <w:t>5.3 QYLD plan not yet executed</w:t>
      </w:r>
    </w:p>
    <w:p>
      <w:r>
        <w:rPr>
          <w:rFonts w:ascii="Calibri" w:hAnsi="Calibri"/>
          <w:b w:val="0"/>
          <w:i w:val="0"/>
          <w:color w:val="0B2545"/>
          <w:sz w:val="22"/>
        </w:rPr>
        <w:t>The QYLD block records individual acquisition lots on the left and a proposed TOPW/QDVO/TSLW/PLTW basket on the right. One modeled group uses $2,695.41 of proceeds, $1,965.30 of proposed purchases and leaves $730.11. It compares $476.68 of replacement annual income with $295.02 of surrendered income, producing $181.66 annual and $15.14 monthly net improvement. Because the plan is unexecuted, none of these amounts may alter Holdings, ROI or Income Plan actuals.</w:t>
      </w:r>
    </w:p>
    <w:p>
      <w:pPr>
        <w:pStyle w:val="Heading2"/>
      </w:pPr>
      <w:r>
        <w:t>5.4 Cumulative results and Roth boost</w:t>
      </w:r>
    </w:p>
    <w:p>
      <w:r>
        <w:rPr>
          <w:rFonts w:ascii="Calibri" w:hAnsi="Calibri"/>
          <w:b w:val="0"/>
          <w:i w:val="0"/>
          <w:color w:val="0B2545"/>
          <w:sz w:val="22"/>
        </w:rPr>
        <w:t>The cumulative Monthly Dividends Increase cell adds more than one hundred scattered result cells and displays approximately $2,324.95. The Increase Dividend Plan cost cell similarly adds scattered gain/loss cells and displays a large negative result in the screenshot. Both are fragile and depend on individual blocks retaining their locations and meanings.</w:t>
      </w:r>
    </w:p>
    <w:tbl>
      <w:tblPr>
        <w:tblStyle w:val="TableGrid"/>
        <w:tblW w:type="dxa" w:w="9360"/>
        <w:jc w:val="left"/>
        <w:tblLayout w:type="fixed"/>
        <w:tblLook w:firstColumn="1" w:firstRow="1" w:lastColumn="0" w:lastRow="0" w:noHBand="0" w:noVBand="1" w:val="04A0"/>
      </w:tblPr>
      <w:tblGrid>
        <w:gridCol w:w="4300"/>
        <w:gridCol w:w="5060"/>
      </w:tblGrid>
      <w:tr>
        <w:trPr>
          <w:tblHeader w:val="true"/>
          <w:cantSplit/>
        </w:trPr>
        <w:tc>
          <w:tcPr>
            <w:tcW w:type="dxa" w:w="4300"/>
            <w:shd w:fill="F2F4F7"/>
            <w:vAlign w:val="center"/>
            <w:tcMar>
              <w:top w:w="70" w:type="dxa"/>
              <w:bottom w:w="70" w:type="dxa"/>
              <w:start w:w="100" w:type="dxa"/>
              <w:end w:w="100" w:type="dxa"/>
            </w:tcMar>
          </w:tcPr>
          <w:p>
            <w:pPr>
              <w:spacing w:after="0"/>
            </w:pPr>
            <w:r>
              <w:rPr>
                <w:rFonts w:ascii="Calibri" w:hAnsi="Calibri"/>
                <w:b/>
                <w:i w:val="0"/>
                <w:color w:val="0B2545"/>
                <w:sz w:val="16"/>
              </w:rPr>
              <w:t>Roth boost metric</w:t>
            </w:r>
          </w:p>
        </w:tc>
        <w:tc>
          <w:tcPr>
            <w:tcW w:type="dxa" w:w="5060"/>
            <w:shd w:fill="F2F4F7"/>
            <w:vAlign w:val="center"/>
            <w:tcMar>
              <w:top w:w="70" w:type="dxa"/>
              <w:bottom w:w="70" w:type="dxa"/>
              <w:start w:w="100" w:type="dxa"/>
              <w:end w:w="100" w:type="dxa"/>
            </w:tcMar>
          </w:tcPr>
          <w:p>
            <w:pPr>
              <w:spacing w:after="0"/>
            </w:pPr>
            <w:r>
              <w:rPr>
                <w:rFonts w:ascii="Calibri" w:hAnsi="Calibri"/>
                <w:b/>
                <w:i w:val="0"/>
                <w:color w:val="0B2545"/>
                <w:sz w:val="16"/>
              </w:rPr>
              <w:t>Observed value</w:t>
            </w:r>
          </w:p>
        </w:tc>
      </w:tr>
      <w:tr>
        <w:trPr>
          <w:cantSplit/>
        </w:trPr>
        <w:tc>
          <w:tcPr>
            <w:tcW w:type="dxa" w:w="4300"/>
            <w:vAlign w:val="center"/>
            <w:tcMar>
              <w:top w:w="70" w:type="dxa"/>
              <w:bottom w:w="70" w:type="dxa"/>
              <w:start w:w="100" w:type="dxa"/>
              <w:end w:w="100" w:type="dxa"/>
            </w:tcMar>
          </w:tcPr>
          <w:p>
            <w:pPr>
              <w:spacing w:after="0" w:line="247" w:lineRule="auto"/>
            </w:pPr>
            <w:r>
              <w:rPr>
                <w:rFonts w:ascii="Calibri" w:hAnsi="Calibri"/>
                <w:b w:val="0"/>
                <w:i w:val="0"/>
                <w:color w:val="0B2545"/>
                <w:sz w:val="16"/>
              </w:rPr>
              <w:t>Available cash</w:t>
            </w:r>
          </w:p>
        </w:tc>
        <w:tc>
          <w:tcPr>
            <w:tcW w:type="dxa" w:w="5060"/>
            <w:vAlign w:val="center"/>
            <w:tcMar>
              <w:top w:w="70" w:type="dxa"/>
              <w:bottom w:w="70" w:type="dxa"/>
              <w:start w:w="100" w:type="dxa"/>
              <w:end w:w="100" w:type="dxa"/>
            </w:tcMar>
          </w:tcPr>
          <w:p>
            <w:pPr>
              <w:spacing w:after="0" w:line="247" w:lineRule="auto"/>
            </w:pPr>
            <w:r>
              <w:rPr>
                <w:rFonts w:ascii="Calibri" w:hAnsi="Calibri"/>
                <w:b w:val="0"/>
                <w:i w:val="0"/>
                <w:color w:val="0B2545"/>
                <w:sz w:val="16"/>
              </w:rPr>
              <w:t>$422.41</w:t>
            </w:r>
          </w:p>
        </w:tc>
      </w:tr>
      <w:tr>
        <w:trPr>
          <w:cantSplit/>
        </w:trPr>
        <w:tc>
          <w:tcPr>
            <w:tcW w:type="dxa" w:w="4300"/>
            <w:vAlign w:val="center"/>
            <w:tcMar>
              <w:top w:w="70" w:type="dxa"/>
              <w:bottom w:w="70" w:type="dxa"/>
              <w:start w:w="100" w:type="dxa"/>
              <w:end w:w="100" w:type="dxa"/>
            </w:tcMar>
          </w:tcPr>
          <w:p>
            <w:pPr>
              <w:spacing w:after="0" w:line="247" w:lineRule="auto"/>
            </w:pPr>
            <w:r>
              <w:rPr>
                <w:rFonts w:ascii="Calibri" w:hAnsi="Calibri"/>
                <w:b w:val="0"/>
                <w:i w:val="0"/>
                <w:color w:val="0B2545"/>
                <w:sz w:val="16"/>
              </w:rPr>
              <w:t>Purchases</w:t>
            </w:r>
          </w:p>
        </w:tc>
        <w:tc>
          <w:tcPr>
            <w:tcW w:type="dxa" w:w="5060"/>
            <w:vAlign w:val="center"/>
            <w:tcMar>
              <w:top w:w="70" w:type="dxa"/>
              <w:bottom w:w="70" w:type="dxa"/>
              <w:start w:w="100" w:type="dxa"/>
              <w:end w:w="100" w:type="dxa"/>
            </w:tcMar>
          </w:tcPr>
          <w:p>
            <w:pPr>
              <w:spacing w:after="0" w:line="247" w:lineRule="auto"/>
            </w:pPr>
            <w:r>
              <w:rPr>
                <w:rFonts w:ascii="Calibri" w:hAnsi="Calibri"/>
                <w:b w:val="0"/>
                <w:i w:val="0"/>
                <w:color w:val="0B2545"/>
                <w:sz w:val="16"/>
              </w:rPr>
              <w:t>3 QQQI and 10 TSPY</w:t>
            </w:r>
          </w:p>
        </w:tc>
      </w:tr>
      <w:tr>
        <w:trPr>
          <w:cantSplit/>
        </w:trPr>
        <w:tc>
          <w:tcPr>
            <w:tcW w:type="dxa" w:w="4300"/>
            <w:vAlign w:val="center"/>
            <w:tcMar>
              <w:top w:w="70" w:type="dxa"/>
              <w:bottom w:w="70" w:type="dxa"/>
              <w:start w:w="100" w:type="dxa"/>
              <w:end w:w="100" w:type="dxa"/>
            </w:tcMar>
          </w:tcPr>
          <w:p>
            <w:pPr>
              <w:spacing w:after="0" w:line="247" w:lineRule="auto"/>
            </w:pPr>
            <w:r>
              <w:rPr>
                <w:rFonts w:ascii="Calibri" w:hAnsi="Calibri"/>
                <w:b w:val="0"/>
                <w:i w:val="0"/>
                <w:color w:val="0B2545"/>
                <w:sz w:val="16"/>
              </w:rPr>
              <w:t>Cash used / remaining</w:t>
            </w:r>
          </w:p>
        </w:tc>
        <w:tc>
          <w:tcPr>
            <w:tcW w:type="dxa" w:w="5060"/>
            <w:vAlign w:val="center"/>
            <w:tcMar>
              <w:top w:w="70" w:type="dxa"/>
              <w:bottom w:w="70" w:type="dxa"/>
              <w:start w:w="100" w:type="dxa"/>
              <w:end w:w="100" w:type="dxa"/>
            </w:tcMar>
          </w:tcPr>
          <w:p>
            <w:pPr>
              <w:spacing w:after="0" w:line="247" w:lineRule="auto"/>
            </w:pPr>
            <w:r>
              <w:rPr>
                <w:rFonts w:ascii="Calibri" w:hAnsi="Calibri"/>
                <w:b w:val="0"/>
                <w:i w:val="0"/>
                <w:color w:val="0B2545"/>
                <w:sz w:val="16"/>
              </w:rPr>
              <w:t>$411.56 / $10.85</w:t>
            </w:r>
          </w:p>
        </w:tc>
      </w:tr>
      <w:tr>
        <w:trPr>
          <w:cantSplit/>
        </w:trPr>
        <w:tc>
          <w:tcPr>
            <w:tcW w:type="dxa" w:w="4300"/>
            <w:vAlign w:val="center"/>
            <w:tcMar>
              <w:top w:w="70" w:type="dxa"/>
              <w:bottom w:w="70" w:type="dxa"/>
              <w:start w:w="100" w:type="dxa"/>
              <w:end w:w="100" w:type="dxa"/>
            </w:tcMar>
          </w:tcPr>
          <w:p>
            <w:pPr>
              <w:spacing w:after="0" w:line="247" w:lineRule="auto"/>
            </w:pPr>
            <w:r>
              <w:rPr>
                <w:rFonts w:ascii="Calibri" w:hAnsi="Calibri"/>
                <w:b w:val="0"/>
                <w:i w:val="0"/>
                <w:color w:val="0B2545"/>
                <w:sz w:val="16"/>
              </w:rPr>
              <w:t>Annual / monthly income increase</w:t>
            </w:r>
          </w:p>
        </w:tc>
        <w:tc>
          <w:tcPr>
            <w:tcW w:type="dxa" w:w="5060"/>
            <w:vAlign w:val="center"/>
            <w:tcMar>
              <w:top w:w="70" w:type="dxa"/>
              <w:bottom w:w="70" w:type="dxa"/>
              <w:start w:w="100" w:type="dxa"/>
              <w:end w:w="100" w:type="dxa"/>
            </w:tcMar>
          </w:tcPr>
          <w:p>
            <w:pPr>
              <w:spacing w:after="0" w:line="247" w:lineRule="auto"/>
            </w:pPr>
            <w:r>
              <w:rPr>
                <w:rFonts w:ascii="Calibri" w:hAnsi="Calibri"/>
                <w:b w:val="0"/>
                <w:i w:val="0"/>
                <w:color w:val="0B2545"/>
                <w:sz w:val="16"/>
              </w:rPr>
              <w:t>$55.32 / $4.61</w:t>
            </w:r>
          </w:p>
        </w:tc>
      </w:tr>
      <w:tr>
        <w:trPr>
          <w:cantSplit/>
        </w:trPr>
        <w:tc>
          <w:tcPr>
            <w:tcW w:type="dxa" w:w="4300"/>
            <w:vAlign w:val="center"/>
            <w:tcMar>
              <w:top w:w="70" w:type="dxa"/>
              <w:bottom w:w="70" w:type="dxa"/>
              <w:start w:w="100" w:type="dxa"/>
              <w:end w:w="100" w:type="dxa"/>
            </w:tcMar>
          </w:tcPr>
          <w:p>
            <w:pPr>
              <w:spacing w:after="0" w:line="247" w:lineRule="auto"/>
            </w:pPr>
            <w:r>
              <w:rPr>
                <w:rFonts w:ascii="Calibri" w:hAnsi="Calibri"/>
                <w:b w:val="0"/>
                <w:i w:val="0"/>
                <w:color w:val="0B2545"/>
                <w:sz w:val="16"/>
              </w:rPr>
              <w:t>Forward income return</w:t>
            </w:r>
          </w:p>
        </w:tc>
        <w:tc>
          <w:tcPr>
            <w:tcW w:type="dxa" w:w="5060"/>
            <w:vAlign w:val="center"/>
            <w:tcMar>
              <w:top w:w="70" w:type="dxa"/>
              <w:bottom w:w="70" w:type="dxa"/>
              <w:start w:w="100" w:type="dxa"/>
              <w:end w:w="100" w:type="dxa"/>
            </w:tcMar>
          </w:tcPr>
          <w:p>
            <w:pPr>
              <w:spacing w:after="0" w:line="247" w:lineRule="auto"/>
            </w:pPr>
            <w:r>
              <w:rPr>
                <w:rFonts w:ascii="Calibri" w:hAnsi="Calibri"/>
                <w:b w:val="0"/>
                <w:i w:val="0"/>
                <w:color w:val="0B2545"/>
                <w:sz w:val="16"/>
              </w:rPr>
              <w:t>Approximately 13.10%</w:t>
            </w:r>
          </w:p>
        </w:tc>
      </w:tr>
    </w:tbl>
    <w:p>
      <w:pPr>
        <w:spacing w:after="20"/>
      </w:pPr>
    </w:p>
    <w:p>
      <w:r>
        <w:br w:type="page"/>
      </w:r>
    </w:p>
    <w:p>
      <w:pPr>
        <w:pStyle w:val="Heading1"/>
      </w:pPr>
      <w:r>
        <w:t>6. Target Business Process</w:t>
      </w:r>
    </w:p>
    <w:tbl>
      <w:tblPr>
        <w:tblStyle w:val="TableGrid"/>
        <w:tblW w:type="dxa" w:w="9360"/>
        <w:jc w:val="left"/>
        <w:tblLayout w:type="fixed"/>
        <w:tblLook w:firstColumn="1" w:firstRow="1" w:lastColumn="0" w:lastRow="0" w:noHBand="0" w:noVBand="1" w:val="04A0"/>
      </w:tblPr>
      <w:tblGrid>
        <w:gridCol w:w="700"/>
        <w:gridCol w:w="4310"/>
        <w:gridCol w:w="4350"/>
      </w:tblGrid>
      <w:tr>
        <w:trPr>
          <w:tblHeader w:val="true"/>
          <w:cantSplit/>
        </w:trPr>
        <w:tc>
          <w:tcPr>
            <w:tcW w:type="dxa" w:w="700"/>
            <w:shd w:fill="F2F4F7"/>
            <w:vAlign w:val="center"/>
            <w:tcMar>
              <w:top w:w="70" w:type="dxa"/>
              <w:bottom w:w="70" w:type="dxa"/>
              <w:start w:w="100" w:type="dxa"/>
              <w:end w:w="100" w:type="dxa"/>
            </w:tcMar>
          </w:tcPr>
          <w:p>
            <w:pPr>
              <w:spacing w:after="0"/>
            </w:pPr>
            <w:r>
              <w:rPr>
                <w:rFonts w:ascii="Calibri" w:hAnsi="Calibri"/>
                <w:b/>
                <w:i w:val="0"/>
                <w:color w:val="0B2545"/>
                <w:sz w:val="16"/>
              </w:rPr>
              <w:t>Step</w:t>
            </w:r>
          </w:p>
        </w:tc>
        <w:tc>
          <w:tcPr>
            <w:tcW w:type="dxa" w:w="4310"/>
            <w:shd w:fill="F2F4F7"/>
            <w:vAlign w:val="center"/>
            <w:tcMar>
              <w:top w:w="70" w:type="dxa"/>
              <w:bottom w:w="70" w:type="dxa"/>
              <w:start w:w="100" w:type="dxa"/>
              <w:end w:w="100" w:type="dxa"/>
            </w:tcMar>
          </w:tcPr>
          <w:p>
            <w:pPr>
              <w:spacing w:after="0"/>
            </w:pPr>
            <w:r>
              <w:rPr>
                <w:rFonts w:ascii="Calibri" w:hAnsi="Calibri"/>
                <w:b/>
                <w:i w:val="0"/>
                <w:color w:val="0B2545"/>
                <w:sz w:val="16"/>
              </w:rPr>
              <w:t>Owner/system action</w:t>
            </w:r>
          </w:p>
        </w:tc>
        <w:tc>
          <w:tcPr>
            <w:tcW w:type="dxa" w:w="4350"/>
            <w:shd w:fill="F2F4F7"/>
            <w:vAlign w:val="center"/>
            <w:tcMar>
              <w:top w:w="70" w:type="dxa"/>
              <w:bottom w:w="70" w:type="dxa"/>
              <w:start w:w="100" w:type="dxa"/>
              <w:end w:w="100" w:type="dxa"/>
            </w:tcMar>
          </w:tcPr>
          <w:p>
            <w:pPr>
              <w:spacing w:after="0"/>
            </w:pPr>
            <w:r>
              <w:rPr>
                <w:rFonts w:ascii="Calibri" w:hAnsi="Calibri"/>
                <w:b/>
                <w:i w:val="0"/>
                <w:color w:val="0B2545"/>
                <w:sz w:val="16"/>
              </w:rPr>
              <w:t>Required result</w:t>
            </w:r>
          </w:p>
        </w:tc>
      </w:tr>
      <w:tr>
        <w:trPr>
          <w:cantSplit/>
        </w:trPr>
        <w:tc>
          <w:tcPr>
            <w:tcW w:type="dxa" w:w="700"/>
            <w:vAlign w:val="center"/>
            <w:tcMar>
              <w:top w:w="70" w:type="dxa"/>
              <w:bottom w:w="70" w:type="dxa"/>
              <w:start w:w="100" w:type="dxa"/>
              <w:end w:w="100" w:type="dxa"/>
            </w:tcMar>
          </w:tcPr>
          <w:p>
            <w:pPr>
              <w:spacing w:after="0" w:line="247" w:lineRule="auto"/>
            </w:pPr>
            <w:r>
              <w:rPr>
                <w:rFonts w:ascii="Calibri" w:hAnsi="Calibri"/>
                <w:b w:val="0"/>
                <w:i w:val="0"/>
                <w:color w:val="0B2545"/>
                <w:sz w:val="16"/>
              </w:rPr>
              <w:t>1. Create</w:t>
            </w:r>
          </w:p>
        </w:tc>
        <w:tc>
          <w:tcPr>
            <w:tcW w:type="dxa" w:w="4310"/>
            <w:vAlign w:val="center"/>
            <w:tcMar>
              <w:top w:w="70" w:type="dxa"/>
              <w:bottom w:w="70" w:type="dxa"/>
              <w:start w:w="100" w:type="dxa"/>
              <w:end w:w="100" w:type="dxa"/>
            </w:tcMar>
          </w:tcPr>
          <w:p>
            <w:pPr>
              <w:spacing w:after="0" w:line="247" w:lineRule="auto"/>
            </w:pPr>
            <w:r>
              <w:rPr>
                <w:rFonts w:ascii="Calibri" w:hAnsi="Calibri"/>
                <w:b w:val="0"/>
                <w:i w:val="0"/>
                <w:color w:val="0B2545"/>
                <w:sz w:val="16"/>
              </w:rPr>
              <w:t>Owner creates New Money, Position Exit/Replacement, or Rebalance scenario and selects account.</w:t>
            </w:r>
          </w:p>
        </w:tc>
        <w:tc>
          <w:tcPr>
            <w:tcW w:type="dxa" w:w="4350"/>
            <w:vAlign w:val="center"/>
            <w:tcMar>
              <w:top w:w="70" w:type="dxa"/>
              <w:bottom w:w="70" w:type="dxa"/>
              <w:start w:w="100" w:type="dxa"/>
              <w:end w:w="100" w:type="dxa"/>
            </w:tcMar>
          </w:tcPr>
          <w:p>
            <w:pPr>
              <w:spacing w:after="0" w:line="247" w:lineRule="auto"/>
            </w:pPr>
            <w:r>
              <w:rPr>
                <w:rFonts w:ascii="Calibri" w:hAnsi="Calibri"/>
                <w:b w:val="0"/>
                <w:i w:val="0"/>
                <w:color w:val="0B2545"/>
                <w:sz w:val="16"/>
              </w:rPr>
              <w:t>Draft scenario with stable ID and creation timestamp.</w:t>
            </w:r>
          </w:p>
        </w:tc>
      </w:tr>
      <w:tr>
        <w:trPr>
          <w:cantSplit/>
        </w:trPr>
        <w:tc>
          <w:tcPr>
            <w:tcW w:type="dxa" w:w="700"/>
            <w:vAlign w:val="center"/>
            <w:tcMar>
              <w:top w:w="70" w:type="dxa"/>
              <w:bottom w:w="70" w:type="dxa"/>
              <w:start w:w="100" w:type="dxa"/>
              <w:end w:w="100" w:type="dxa"/>
            </w:tcMar>
          </w:tcPr>
          <w:p>
            <w:pPr>
              <w:spacing w:after="0" w:line="247" w:lineRule="auto"/>
            </w:pPr>
            <w:r>
              <w:rPr>
                <w:rFonts w:ascii="Calibri" w:hAnsi="Calibri"/>
                <w:b w:val="0"/>
                <w:i w:val="0"/>
                <w:color w:val="0B2545"/>
                <w:sz w:val="16"/>
              </w:rPr>
              <w:t>2. Fund</w:t>
            </w:r>
          </w:p>
        </w:tc>
        <w:tc>
          <w:tcPr>
            <w:tcW w:type="dxa" w:w="4310"/>
            <w:vAlign w:val="center"/>
            <w:tcMar>
              <w:top w:w="70" w:type="dxa"/>
              <w:bottom w:w="70" w:type="dxa"/>
              <w:start w:w="100" w:type="dxa"/>
              <w:end w:w="100" w:type="dxa"/>
            </w:tcMar>
          </w:tcPr>
          <w:p>
            <w:pPr>
              <w:spacing w:after="0" w:line="247" w:lineRule="auto"/>
            </w:pPr>
            <w:r>
              <w:rPr>
                <w:rFonts w:ascii="Calibri" w:hAnsi="Calibri"/>
                <w:b w:val="0"/>
                <w:i w:val="0"/>
                <w:color w:val="0B2545"/>
                <w:sz w:val="16"/>
              </w:rPr>
              <w:t>Enter new cash or select explicit sale lots. System may recommend lowest-cost-first lots.</w:t>
            </w:r>
          </w:p>
        </w:tc>
        <w:tc>
          <w:tcPr>
            <w:tcW w:type="dxa" w:w="4350"/>
            <w:vAlign w:val="center"/>
            <w:tcMar>
              <w:top w:w="70" w:type="dxa"/>
              <w:bottom w:w="70" w:type="dxa"/>
              <w:start w:w="100" w:type="dxa"/>
              <w:end w:w="100" w:type="dxa"/>
            </w:tcMar>
          </w:tcPr>
          <w:p>
            <w:pPr>
              <w:spacing w:after="0" w:line="247" w:lineRule="auto"/>
            </w:pPr>
            <w:r>
              <w:rPr>
                <w:rFonts w:ascii="Calibri" w:hAnsi="Calibri"/>
                <w:b w:val="0"/>
                <w:i w:val="0"/>
                <w:color w:val="0B2545"/>
                <w:sz w:val="16"/>
              </w:rPr>
              <w:t>No FIFO assumption; exact lot IDs and expected proceeds are visible.</w:t>
            </w:r>
          </w:p>
        </w:tc>
      </w:tr>
      <w:tr>
        <w:trPr>
          <w:cantSplit/>
        </w:trPr>
        <w:tc>
          <w:tcPr>
            <w:tcW w:type="dxa" w:w="700"/>
            <w:vAlign w:val="center"/>
            <w:tcMar>
              <w:top w:w="70" w:type="dxa"/>
              <w:bottom w:w="70" w:type="dxa"/>
              <w:start w:w="100" w:type="dxa"/>
              <w:end w:w="100" w:type="dxa"/>
            </w:tcMar>
          </w:tcPr>
          <w:p>
            <w:pPr>
              <w:spacing w:after="0" w:line="247" w:lineRule="auto"/>
            </w:pPr>
            <w:r>
              <w:rPr>
                <w:rFonts w:ascii="Calibri" w:hAnsi="Calibri"/>
                <w:b w:val="0"/>
                <w:i w:val="0"/>
                <w:color w:val="0B2545"/>
                <w:sz w:val="16"/>
              </w:rPr>
              <w:t>3. Build</w:t>
            </w:r>
          </w:p>
        </w:tc>
        <w:tc>
          <w:tcPr>
            <w:tcW w:type="dxa" w:w="4310"/>
            <w:vAlign w:val="center"/>
            <w:tcMar>
              <w:top w:w="70" w:type="dxa"/>
              <w:bottom w:w="70" w:type="dxa"/>
              <w:start w:w="100" w:type="dxa"/>
              <w:end w:w="100" w:type="dxa"/>
            </w:tcMar>
          </w:tcPr>
          <w:p>
            <w:pPr>
              <w:spacing w:after="0" w:line="247" w:lineRule="auto"/>
            </w:pPr>
            <w:r>
              <w:rPr>
                <w:rFonts w:ascii="Calibri" w:hAnsi="Calibri"/>
                <w:b w:val="0"/>
                <w:i w:val="0"/>
                <w:color w:val="0B2545"/>
                <w:sz w:val="16"/>
              </w:rPr>
              <w:t>Add candidate purchases or request ranked alternatives.</w:t>
            </w:r>
          </w:p>
        </w:tc>
        <w:tc>
          <w:tcPr>
            <w:tcW w:type="dxa" w:w="4350"/>
            <w:vAlign w:val="center"/>
            <w:tcMar>
              <w:top w:w="70" w:type="dxa"/>
              <w:bottom w:w="70" w:type="dxa"/>
              <w:start w:w="100" w:type="dxa"/>
              <w:end w:w="100" w:type="dxa"/>
            </w:tcMar>
          </w:tcPr>
          <w:p>
            <w:pPr>
              <w:spacing w:after="0" w:line="247" w:lineRule="auto"/>
            </w:pPr>
            <w:r>
              <w:rPr>
                <w:rFonts w:ascii="Calibri" w:hAnsi="Calibri"/>
                <w:b w:val="0"/>
                <w:i w:val="0"/>
                <w:color w:val="0B2545"/>
                <w:sz w:val="16"/>
              </w:rPr>
              <w:t>Quantities, cash use, income, tier and account constraints recalculate immediately.</w:t>
            </w:r>
          </w:p>
        </w:tc>
      </w:tr>
      <w:tr>
        <w:trPr>
          <w:cantSplit/>
        </w:trPr>
        <w:tc>
          <w:tcPr>
            <w:tcW w:type="dxa" w:w="700"/>
            <w:vAlign w:val="center"/>
            <w:tcMar>
              <w:top w:w="70" w:type="dxa"/>
              <w:bottom w:w="70" w:type="dxa"/>
              <w:start w:w="100" w:type="dxa"/>
              <w:end w:w="100" w:type="dxa"/>
            </w:tcMar>
          </w:tcPr>
          <w:p>
            <w:pPr>
              <w:spacing w:after="0" w:line="247" w:lineRule="auto"/>
            </w:pPr>
            <w:r>
              <w:rPr>
                <w:rFonts w:ascii="Calibri" w:hAnsi="Calibri"/>
                <w:b w:val="0"/>
                <w:i w:val="0"/>
                <w:color w:val="0B2545"/>
                <w:sz w:val="16"/>
              </w:rPr>
              <w:t>4. Compare</w:t>
            </w:r>
          </w:p>
        </w:tc>
        <w:tc>
          <w:tcPr>
            <w:tcW w:type="dxa" w:w="4310"/>
            <w:vAlign w:val="center"/>
            <w:tcMar>
              <w:top w:w="70" w:type="dxa"/>
              <w:bottom w:w="70" w:type="dxa"/>
              <w:start w:w="100" w:type="dxa"/>
              <w:end w:w="100" w:type="dxa"/>
            </w:tcMar>
          </w:tcPr>
          <w:p>
            <w:pPr>
              <w:spacing w:after="0" w:line="247" w:lineRule="auto"/>
            </w:pPr>
            <w:r>
              <w:rPr>
                <w:rFonts w:ascii="Calibri" w:hAnsi="Calibri"/>
                <w:b w:val="0"/>
                <w:i w:val="0"/>
                <w:color w:val="0B2545"/>
                <w:sz w:val="16"/>
              </w:rPr>
              <w:t>Review income, principal/NAV evidence, backtesting analysis, concentration, tax estimate, allocation change and remaining cash.</w:t>
            </w:r>
          </w:p>
        </w:tc>
        <w:tc>
          <w:tcPr>
            <w:tcW w:type="dxa" w:w="4350"/>
            <w:vAlign w:val="center"/>
            <w:tcMar>
              <w:top w:w="70" w:type="dxa"/>
              <w:bottom w:w="70" w:type="dxa"/>
              <w:start w:w="100" w:type="dxa"/>
              <w:end w:w="100" w:type="dxa"/>
            </w:tcMar>
          </w:tcPr>
          <w:p>
            <w:pPr>
              <w:spacing w:after="0" w:line="247" w:lineRule="auto"/>
            </w:pPr>
            <w:r>
              <w:rPr>
                <w:rFonts w:ascii="Calibri" w:hAnsi="Calibri"/>
                <w:b w:val="0"/>
                <w:i w:val="0"/>
                <w:color w:val="0B2545"/>
                <w:sz w:val="16"/>
              </w:rPr>
              <w:t>Every measure remains separately explainable; no hidden composite decision.</w:t>
            </w:r>
          </w:p>
        </w:tc>
      </w:tr>
      <w:tr>
        <w:trPr>
          <w:cantSplit/>
        </w:trPr>
        <w:tc>
          <w:tcPr>
            <w:tcW w:type="dxa" w:w="700"/>
            <w:vAlign w:val="center"/>
            <w:tcMar>
              <w:top w:w="70" w:type="dxa"/>
              <w:bottom w:w="70" w:type="dxa"/>
              <w:start w:w="100" w:type="dxa"/>
              <w:end w:w="100" w:type="dxa"/>
            </w:tcMar>
          </w:tcPr>
          <w:p>
            <w:pPr>
              <w:spacing w:after="0" w:line="247" w:lineRule="auto"/>
            </w:pPr>
            <w:r>
              <w:rPr>
                <w:rFonts w:ascii="Calibri" w:hAnsi="Calibri"/>
                <w:b w:val="0"/>
                <w:i w:val="0"/>
                <w:color w:val="0B2545"/>
                <w:sz w:val="16"/>
              </w:rPr>
              <w:t>5. Validate</w:t>
            </w:r>
          </w:p>
        </w:tc>
        <w:tc>
          <w:tcPr>
            <w:tcW w:type="dxa" w:w="4310"/>
            <w:vAlign w:val="center"/>
            <w:tcMar>
              <w:top w:w="70" w:type="dxa"/>
              <w:bottom w:w="70" w:type="dxa"/>
              <w:start w:w="100" w:type="dxa"/>
              <w:end w:w="100" w:type="dxa"/>
            </w:tcMar>
          </w:tcPr>
          <w:p>
            <w:pPr>
              <w:spacing w:after="0" w:line="247" w:lineRule="auto"/>
            </w:pPr>
            <w:r>
              <w:rPr>
                <w:rFonts w:ascii="Calibri" w:hAnsi="Calibri"/>
                <w:b w:val="0"/>
                <w:i w:val="0"/>
                <w:color w:val="0B2545"/>
                <w:sz w:val="16"/>
              </w:rPr>
              <w:t>System evaluates stale prices, plan confidence, overspend, concentration and allocation deterioration.</w:t>
            </w:r>
          </w:p>
        </w:tc>
        <w:tc>
          <w:tcPr>
            <w:tcW w:type="dxa" w:w="4350"/>
            <w:vAlign w:val="center"/>
            <w:tcMar>
              <w:top w:w="70" w:type="dxa"/>
              <w:bottom w:w="70" w:type="dxa"/>
              <w:start w:w="100" w:type="dxa"/>
              <w:end w:w="100" w:type="dxa"/>
            </w:tcMar>
          </w:tcPr>
          <w:p>
            <w:pPr>
              <w:spacing w:after="0" w:line="247" w:lineRule="auto"/>
            </w:pPr>
            <w:r>
              <w:rPr>
                <w:rFonts w:ascii="Calibri" w:hAnsi="Calibri"/>
                <w:b w:val="0"/>
                <w:i w:val="0"/>
                <w:color w:val="0B2545"/>
                <w:sz w:val="16"/>
              </w:rPr>
              <w:t>Warnings are explicit; blocking errors prevent approval.</w:t>
            </w:r>
          </w:p>
        </w:tc>
      </w:tr>
      <w:tr>
        <w:trPr>
          <w:cantSplit/>
        </w:trPr>
        <w:tc>
          <w:tcPr>
            <w:tcW w:type="dxa" w:w="700"/>
            <w:vAlign w:val="center"/>
            <w:tcMar>
              <w:top w:w="70" w:type="dxa"/>
              <w:bottom w:w="70" w:type="dxa"/>
              <w:start w:w="100" w:type="dxa"/>
              <w:end w:w="100" w:type="dxa"/>
            </w:tcMar>
          </w:tcPr>
          <w:p>
            <w:pPr>
              <w:spacing w:after="0" w:line="247" w:lineRule="auto"/>
            </w:pPr>
            <w:r>
              <w:rPr>
                <w:rFonts w:ascii="Calibri" w:hAnsi="Calibri"/>
                <w:b w:val="0"/>
                <w:i w:val="0"/>
                <w:color w:val="0B2545"/>
                <w:sz w:val="16"/>
              </w:rPr>
              <w:t>6. Approve</w:t>
            </w:r>
          </w:p>
        </w:tc>
        <w:tc>
          <w:tcPr>
            <w:tcW w:type="dxa" w:w="4310"/>
            <w:vAlign w:val="center"/>
            <w:tcMar>
              <w:top w:w="70" w:type="dxa"/>
              <w:bottom w:w="70" w:type="dxa"/>
              <w:start w:w="100" w:type="dxa"/>
              <w:end w:w="100" w:type="dxa"/>
            </w:tcMar>
          </w:tcPr>
          <w:p>
            <w:pPr>
              <w:spacing w:after="0" w:line="247" w:lineRule="auto"/>
            </w:pPr>
            <w:r>
              <w:rPr>
                <w:rFonts w:ascii="Calibri" w:hAnsi="Calibri"/>
                <w:b w:val="0"/>
                <w:i w:val="0"/>
                <w:color w:val="0B2545"/>
                <w:sz w:val="16"/>
              </w:rPr>
              <w:t>Owner approves selected lots and purchase lines; warnings may be overridden with a reason.</w:t>
            </w:r>
          </w:p>
        </w:tc>
        <w:tc>
          <w:tcPr>
            <w:tcW w:type="dxa" w:w="4350"/>
            <w:vAlign w:val="center"/>
            <w:tcMar>
              <w:top w:w="70" w:type="dxa"/>
              <w:bottom w:w="70" w:type="dxa"/>
              <w:start w:w="100" w:type="dxa"/>
              <w:end w:w="100" w:type="dxa"/>
            </w:tcMar>
          </w:tcPr>
          <w:p>
            <w:pPr>
              <w:spacing w:after="0" w:line="247" w:lineRule="auto"/>
            </w:pPr>
            <w:r>
              <w:rPr>
                <w:rFonts w:ascii="Calibri" w:hAnsi="Calibri"/>
                <w:b w:val="0"/>
                <w:i w:val="0"/>
                <w:color w:val="0B2545"/>
                <w:sz w:val="16"/>
              </w:rPr>
              <w:t>Immutable approved version and audit event.</w:t>
            </w:r>
          </w:p>
        </w:tc>
      </w:tr>
      <w:tr>
        <w:trPr>
          <w:cantSplit/>
        </w:trPr>
        <w:tc>
          <w:tcPr>
            <w:tcW w:type="dxa" w:w="700"/>
            <w:vAlign w:val="center"/>
            <w:tcMar>
              <w:top w:w="70" w:type="dxa"/>
              <w:bottom w:w="70" w:type="dxa"/>
              <w:start w:w="100" w:type="dxa"/>
              <w:end w:w="100" w:type="dxa"/>
            </w:tcMar>
          </w:tcPr>
          <w:p>
            <w:pPr>
              <w:spacing w:after="0" w:line="247" w:lineRule="auto"/>
            </w:pPr>
            <w:r>
              <w:rPr>
                <w:rFonts w:ascii="Calibri" w:hAnsi="Calibri"/>
                <w:b w:val="0"/>
                <w:i w:val="0"/>
                <w:color w:val="0B2545"/>
                <w:sz w:val="16"/>
              </w:rPr>
              <w:t>7. Execute</w:t>
            </w:r>
          </w:p>
        </w:tc>
        <w:tc>
          <w:tcPr>
            <w:tcW w:type="dxa" w:w="4310"/>
            <w:vAlign w:val="center"/>
            <w:tcMar>
              <w:top w:w="70" w:type="dxa"/>
              <w:bottom w:w="70" w:type="dxa"/>
              <w:start w:w="100" w:type="dxa"/>
              <w:end w:w="100" w:type="dxa"/>
            </w:tcMar>
          </w:tcPr>
          <w:p>
            <w:pPr>
              <w:spacing w:after="0" w:line="247" w:lineRule="auto"/>
            </w:pPr>
            <w:r>
              <w:rPr>
                <w:rFonts w:ascii="Calibri" w:hAnsi="Calibri"/>
                <w:b w:val="0"/>
                <w:i w:val="0"/>
                <w:color w:val="0B2545"/>
                <w:sz w:val="16"/>
              </w:rPr>
              <w:t>Transactions arrive by paste/import initially and API later, or are entered manually when necessary.</w:t>
            </w:r>
          </w:p>
        </w:tc>
        <w:tc>
          <w:tcPr>
            <w:tcW w:type="dxa" w:w="4350"/>
            <w:vAlign w:val="center"/>
            <w:tcMar>
              <w:top w:w="70" w:type="dxa"/>
              <w:bottom w:w="70" w:type="dxa"/>
              <w:start w:w="100" w:type="dxa"/>
              <w:end w:w="100" w:type="dxa"/>
            </w:tcMar>
          </w:tcPr>
          <w:p>
            <w:pPr>
              <w:spacing w:after="0" w:line="247" w:lineRule="auto"/>
            </w:pPr>
            <w:r>
              <w:rPr>
                <w:rFonts w:ascii="Calibri" w:hAnsi="Calibri"/>
                <w:b w:val="0"/>
                <w:i w:val="0"/>
                <w:color w:val="0B2545"/>
                <w:sz w:val="16"/>
              </w:rPr>
              <w:t>Each fill is an independent transaction event linked to a scenario line/tranche.</w:t>
            </w:r>
          </w:p>
        </w:tc>
      </w:tr>
      <w:tr>
        <w:trPr>
          <w:cantSplit/>
        </w:trPr>
        <w:tc>
          <w:tcPr>
            <w:tcW w:type="dxa" w:w="700"/>
            <w:vAlign w:val="center"/>
            <w:tcMar>
              <w:top w:w="70" w:type="dxa"/>
              <w:bottom w:w="70" w:type="dxa"/>
              <w:start w:w="100" w:type="dxa"/>
              <w:end w:w="100" w:type="dxa"/>
            </w:tcMar>
          </w:tcPr>
          <w:p>
            <w:pPr>
              <w:spacing w:after="0" w:line="247" w:lineRule="auto"/>
            </w:pPr>
            <w:r>
              <w:rPr>
                <w:rFonts w:ascii="Calibri" w:hAnsi="Calibri"/>
                <w:b w:val="0"/>
                <w:i w:val="0"/>
                <w:color w:val="0B2545"/>
                <w:sz w:val="16"/>
              </w:rPr>
              <w:t>8. Reconcile</w:t>
            </w:r>
          </w:p>
        </w:tc>
        <w:tc>
          <w:tcPr>
            <w:tcW w:type="dxa" w:w="4310"/>
            <w:vAlign w:val="center"/>
            <w:tcMar>
              <w:top w:w="70" w:type="dxa"/>
              <w:bottom w:w="70" w:type="dxa"/>
              <w:start w:w="100" w:type="dxa"/>
              <w:end w:w="100" w:type="dxa"/>
            </w:tcMar>
          </w:tcPr>
          <w:p>
            <w:pPr>
              <w:spacing w:after="0" w:line="247" w:lineRule="auto"/>
            </w:pPr>
            <w:r>
              <w:rPr>
                <w:rFonts w:ascii="Calibri" w:hAnsi="Calibri"/>
                <w:b w:val="0"/>
                <w:i w:val="0"/>
                <w:color w:val="0B2545"/>
                <w:sz w:val="16"/>
              </w:rPr>
              <w:t>System proposes matches between fills and approved lines; owner confirms exceptions.</w:t>
            </w:r>
          </w:p>
        </w:tc>
        <w:tc>
          <w:tcPr>
            <w:tcW w:type="dxa" w:w="4350"/>
            <w:vAlign w:val="center"/>
            <w:tcMar>
              <w:top w:w="70" w:type="dxa"/>
              <w:bottom w:w="70" w:type="dxa"/>
              <w:start w:w="100" w:type="dxa"/>
              <w:end w:w="100" w:type="dxa"/>
            </w:tcMar>
          </w:tcPr>
          <w:p>
            <w:pPr>
              <w:spacing w:after="0" w:line="247" w:lineRule="auto"/>
            </w:pPr>
            <w:r>
              <w:rPr>
                <w:rFonts w:ascii="Calibri" w:hAnsi="Calibri"/>
                <w:b w:val="0"/>
                <w:i w:val="0"/>
                <w:color w:val="0B2545"/>
                <w:sz w:val="16"/>
              </w:rPr>
              <w:t>Actual lot, quantity, price, fees and dates replace estimates for actual reporting.</w:t>
            </w:r>
          </w:p>
        </w:tc>
      </w:tr>
      <w:tr>
        <w:trPr>
          <w:cantSplit/>
        </w:trPr>
        <w:tc>
          <w:tcPr>
            <w:tcW w:type="dxa" w:w="700"/>
            <w:vAlign w:val="center"/>
            <w:tcMar>
              <w:top w:w="70" w:type="dxa"/>
              <w:bottom w:w="70" w:type="dxa"/>
              <w:start w:w="100" w:type="dxa"/>
              <w:end w:w="100" w:type="dxa"/>
            </w:tcMar>
          </w:tcPr>
          <w:p>
            <w:pPr>
              <w:spacing w:after="0" w:line="247" w:lineRule="auto"/>
            </w:pPr>
            <w:r>
              <w:rPr>
                <w:rFonts w:ascii="Calibri" w:hAnsi="Calibri"/>
                <w:b w:val="0"/>
                <w:i w:val="0"/>
                <w:color w:val="0B2545"/>
                <w:sz w:val="16"/>
              </w:rPr>
              <w:t>9. Complete</w:t>
            </w:r>
          </w:p>
        </w:tc>
        <w:tc>
          <w:tcPr>
            <w:tcW w:type="dxa" w:w="4310"/>
            <w:vAlign w:val="center"/>
            <w:tcMar>
              <w:top w:w="70" w:type="dxa"/>
              <w:bottom w:w="70" w:type="dxa"/>
              <w:start w:w="100" w:type="dxa"/>
              <w:end w:w="100" w:type="dxa"/>
            </w:tcMar>
          </w:tcPr>
          <w:p>
            <w:pPr>
              <w:spacing w:after="0" w:line="247" w:lineRule="auto"/>
            </w:pPr>
            <w:r>
              <w:rPr>
                <w:rFonts w:ascii="Calibri" w:hAnsi="Calibri"/>
                <w:b w:val="0"/>
                <w:i w:val="0"/>
                <w:color w:val="0B2545"/>
                <w:sz w:val="16"/>
              </w:rPr>
              <w:t>All intended lines are executed, cancelled or explicitly waived.</w:t>
            </w:r>
          </w:p>
        </w:tc>
        <w:tc>
          <w:tcPr>
            <w:tcW w:type="dxa" w:w="4350"/>
            <w:vAlign w:val="center"/>
            <w:tcMar>
              <w:top w:w="70" w:type="dxa"/>
              <w:bottom w:w="70" w:type="dxa"/>
              <w:start w:w="100" w:type="dxa"/>
              <w:end w:w="100" w:type="dxa"/>
            </w:tcMar>
          </w:tcPr>
          <w:p>
            <w:pPr>
              <w:spacing w:after="0" w:line="247" w:lineRule="auto"/>
            </w:pPr>
            <w:r>
              <w:rPr>
                <w:rFonts w:ascii="Calibri" w:hAnsi="Calibri"/>
                <w:b w:val="0"/>
                <w:i w:val="0"/>
                <w:color w:val="0B2545"/>
                <w:sz w:val="16"/>
              </w:rPr>
              <w:t>Scenario status Completed; Holdings, ROI, allocations and plan impacts agree.</w:t>
            </w:r>
          </w:p>
        </w:tc>
      </w:tr>
      <w:tr>
        <w:trPr>
          <w:cantSplit/>
        </w:trPr>
        <w:tc>
          <w:tcPr>
            <w:tcW w:type="dxa" w:w="700"/>
            <w:vAlign w:val="center"/>
            <w:tcMar>
              <w:top w:w="70" w:type="dxa"/>
              <w:bottom w:w="70" w:type="dxa"/>
              <w:start w:w="100" w:type="dxa"/>
              <w:end w:w="100" w:type="dxa"/>
            </w:tcMar>
          </w:tcPr>
          <w:p>
            <w:pPr>
              <w:spacing w:after="0" w:line="247" w:lineRule="auto"/>
            </w:pPr>
            <w:r>
              <w:rPr>
                <w:rFonts w:ascii="Calibri" w:hAnsi="Calibri"/>
                <w:b w:val="0"/>
                <w:i w:val="0"/>
                <w:color w:val="0B2545"/>
                <w:sz w:val="16"/>
              </w:rPr>
              <w:t>10. Review</w:t>
            </w:r>
          </w:p>
        </w:tc>
        <w:tc>
          <w:tcPr>
            <w:tcW w:type="dxa" w:w="4310"/>
            <w:vAlign w:val="center"/>
            <w:tcMar>
              <w:top w:w="70" w:type="dxa"/>
              <w:bottom w:w="70" w:type="dxa"/>
              <w:start w:w="100" w:type="dxa"/>
              <w:end w:w="100" w:type="dxa"/>
            </w:tcMar>
          </w:tcPr>
          <w:p>
            <w:pPr>
              <w:spacing w:after="0" w:line="247" w:lineRule="auto"/>
            </w:pPr>
            <w:r>
              <w:rPr>
                <w:rFonts w:ascii="Calibri" w:hAnsi="Calibri"/>
                <w:b w:val="0"/>
                <w:i w:val="0"/>
                <w:color w:val="0B2545"/>
                <w:sz w:val="16"/>
              </w:rPr>
              <w:t>Compare forecast with actual and monitor cumulative decision outcomes.</w:t>
            </w:r>
          </w:p>
        </w:tc>
        <w:tc>
          <w:tcPr>
            <w:tcW w:type="dxa" w:w="4350"/>
            <w:vAlign w:val="center"/>
            <w:tcMar>
              <w:top w:w="70" w:type="dxa"/>
              <w:bottom w:w="70" w:type="dxa"/>
              <w:start w:w="100" w:type="dxa"/>
              <w:end w:w="100" w:type="dxa"/>
            </w:tcMar>
          </w:tcPr>
          <w:p>
            <w:pPr>
              <w:spacing w:after="0" w:line="247" w:lineRule="auto"/>
            </w:pPr>
            <w:r>
              <w:rPr>
                <w:rFonts w:ascii="Calibri" w:hAnsi="Calibri"/>
                <w:b w:val="0"/>
                <w:i w:val="0"/>
                <w:color w:val="0B2545"/>
                <w:sz w:val="16"/>
              </w:rPr>
              <w:t>Ledger-derived accountability reporting without hardcoded cell sums.</w:t>
            </w:r>
          </w:p>
        </w:tc>
      </w:tr>
    </w:tbl>
    <w:p>
      <w:pPr>
        <w:spacing w:after="20"/>
      </w:pPr>
    </w:p>
    <w:p>
      <w:pPr>
        <w:pStyle w:val="Heading1"/>
      </w:pPr>
      <w:r>
        <w:t>7. Allocation-Goal Progress</w:t>
      </w:r>
    </w:p>
    <w:tbl>
      <w:tblPr>
        <w:tblStyle w:val="TableGrid"/>
        <w:tblW w:type="dxa" w:w="9360"/>
        <w:jc w:val="left"/>
        <w:tblLayout w:type="fixed"/>
        <w:tblLook w:firstColumn="1" w:firstRow="1" w:lastColumn="0" w:lastRow="0" w:noHBand="0" w:noVBand="1" w:val="04A0"/>
      </w:tblPr>
      <w:tblGrid>
        <w:gridCol w:w="9360"/>
      </w:tblGrid>
      <w:tr>
        <w:trPr>
          <w:cantSplit/>
        </w:trPr>
        <w:tc>
          <w:tcPr>
            <w:tcW w:type="dxa" w:w="9360"/>
            <w:vAlign w:val="center"/>
            <w:tcMar>
              <w:top w:w="110" w:type="dxa"/>
              <w:bottom w:w="110" w:type="dxa"/>
              <w:start w:w="120" w:type="dxa"/>
              <w:end w:w="120" w:type="dxa"/>
            </w:tcMar>
            <w:shd w:fill="EAF4E2"/>
          </w:tcPr>
          <w:p>
            <w:pPr>
              <w:spacing w:after="0"/>
            </w:pPr>
            <w:r>
              <w:rPr>
                <w:rFonts w:ascii="Calibri" w:hAnsi="Calibri"/>
                <w:b/>
                <w:i w:val="0"/>
                <w:color w:val="315B24"/>
                <w:sz w:val="22"/>
              </w:rPr>
              <w:t xml:space="preserve">Approved rule: </w:t>
            </w:r>
            <w:r>
              <w:rPr>
                <w:rFonts w:ascii="Calibri" w:hAnsi="Calibri"/>
                <w:b w:val="0"/>
                <w:i w:val="0"/>
                <w:color w:val="315B24"/>
                <w:sz w:val="22"/>
              </w:rPr>
              <w:t>Every scenario calculates Foundation/Core/Risk On targets, actual before, projected after and gap improvement for the affected account, plus a portfolio-wide rollup. Uninvested cash is excluded from the invested-tier denominator and displayed separately.</w:t>
            </w:r>
          </w:p>
        </w:tc>
      </w:tr>
    </w:tbl>
    <w:p>
      <w:pPr>
        <w:spacing w:after="20"/>
      </w:pPr>
    </w:p>
    <w:tbl>
      <w:tblPr>
        <w:tblStyle w:val="TableGrid"/>
        <w:tblW w:type="dxa" w:w="9360"/>
        <w:jc w:val="left"/>
        <w:tblLayout w:type="fixed"/>
        <w:tblLook w:firstColumn="1" w:firstRow="1" w:lastColumn="0" w:lastRow="0" w:noHBand="0" w:noVBand="1" w:val="04A0"/>
      </w:tblPr>
      <w:tblGrid>
        <w:gridCol w:w="3300"/>
        <w:gridCol w:w="6060"/>
      </w:tblGrid>
      <w:tr>
        <w:trPr>
          <w:tblHeader w:val="true"/>
          <w:cantSplit/>
        </w:trPr>
        <w:tc>
          <w:tcPr>
            <w:tcW w:type="dxa" w:w="3300"/>
            <w:shd w:fill="F2F4F7"/>
            <w:vAlign w:val="center"/>
            <w:tcMar>
              <w:top w:w="70" w:type="dxa"/>
              <w:bottom w:w="70" w:type="dxa"/>
              <w:start w:w="100" w:type="dxa"/>
              <w:end w:w="100" w:type="dxa"/>
            </w:tcMar>
          </w:tcPr>
          <w:p>
            <w:pPr>
              <w:spacing w:after="0"/>
            </w:pPr>
            <w:r>
              <w:rPr>
                <w:rFonts w:ascii="Calibri" w:hAnsi="Calibri"/>
                <w:b/>
                <w:i w:val="0"/>
                <w:color w:val="0B2545"/>
                <w:sz w:val="16"/>
              </w:rPr>
              <w:t>Metric</w:t>
            </w:r>
          </w:p>
        </w:tc>
        <w:tc>
          <w:tcPr>
            <w:tcW w:type="dxa" w:w="6060"/>
            <w:shd w:fill="F2F4F7"/>
            <w:vAlign w:val="center"/>
            <w:tcMar>
              <w:top w:w="70" w:type="dxa"/>
              <w:bottom w:w="70" w:type="dxa"/>
              <w:start w:w="100" w:type="dxa"/>
              <w:end w:w="100" w:type="dxa"/>
            </w:tcMar>
          </w:tcPr>
          <w:p>
            <w:pPr>
              <w:spacing w:after="0"/>
            </w:pPr>
            <w:r>
              <w:rPr>
                <w:rFonts w:ascii="Calibri" w:hAnsi="Calibri"/>
                <w:b/>
                <w:i w:val="0"/>
                <w:color w:val="0B2545"/>
                <w:sz w:val="16"/>
              </w:rPr>
              <w:t>Definition</w:t>
            </w:r>
          </w:p>
        </w:tc>
      </w:tr>
      <w:tr>
        <w:trPr>
          <w:cantSplit/>
        </w:trPr>
        <w:tc>
          <w:tcPr>
            <w:tcW w:type="dxa" w:w="3300"/>
            <w:vAlign w:val="center"/>
            <w:tcMar>
              <w:top w:w="70" w:type="dxa"/>
              <w:bottom w:w="70" w:type="dxa"/>
              <w:start w:w="100" w:type="dxa"/>
              <w:end w:w="100" w:type="dxa"/>
            </w:tcMar>
          </w:tcPr>
          <w:p>
            <w:pPr>
              <w:spacing w:after="0" w:line="247" w:lineRule="auto"/>
            </w:pPr>
            <w:r>
              <w:rPr>
                <w:rFonts w:ascii="Calibri" w:hAnsi="Calibri"/>
                <w:b w:val="0"/>
                <w:i w:val="0"/>
                <w:color w:val="0B2545"/>
                <w:sz w:val="16"/>
              </w:rPr>
              <w:t>Tier market value before</w:t>
            </w:r>
          </w:p>
        </w:tc>
        <w:tc>
          <w:tcPr>
            <w:tcW w:type="dxa" w:w="6060"/>
            <w:vAlign w:val="center"/>
            <w:tcMar>
              <w:top w:w="70" w:type="dxa"/>
              <w:bottom w:w="70" w:type="dxa"/>
              <w:start w:w="100" w:type="dxa"/>
              <w:end w:w="100" w:type="dxa"/>
            </w:tcMar>
          </w:tcPr>
          <w:p>
            <w:pPr>
              <w:spacing w:after="0" w:line="247" w:lineRule="auto"/>
            </w:pPr>
            <w:r>
              <w:rPr>
                <w:rFonts w:ascii="Calibri" w:hAnsi="Calibri"/>
                <w:b w:val="0"/>
                <w:i w:val="0"/>
                <w:color w:val="0B2545"/>
                <w:sz w:val="16"/>
              </w:rPr>
              <w:t>Current market value of included holdings in the account and tier before the scenario.</w:t>
            </w:r>
          </w:p>
        </w:tc>
      </w:tr>
      <w:tr>
        <w:trPr>
          <w:cantSplit/>
        </w:trPr>
        <w:tc>
          <w:tcPr>
            <w:tcW w:type="dxa" w:w="3300"/>
            <w:vAlign w:val="center"/>
            <w:tcMar>
              <w:top w:w="70" w:type="dxa"/>
              <w:bottom w:w="70" w:type="dxa"/>
              <w:start w:w="100" w:type="dxa"/>
              <w:end w:w="100" w:type="dxa"/>
            </w:tcMar>
          </w:tcPr>
          <w:p>
            <w:pPr>
              <w:spacing w:after="0" w:line="247" w:lineRule="auto"/>
            </w:pPr>
            <w:r>
              <w:rPr>
                <w:rFonts w:ascii="Calibri" w:hAnsi="Calibri"/>
                <w:b w:val="0"/>
                <w:i w:val="0"/>
                <w:color w:val="0B2545"/>
                <w:sz w:val="16"/>
              </w:rPr>
              <w:t>Tier market value after</w:t>
            </w:r>
          </w:p>
        </w:tc>
        <w:tc>
          <w:tcPr>
            <w:tcW w:type="dxa" w:w="6060"/>
            <w:vAlign w:val="center"/>
            <w:tcMar>
              <w:top w:w="70" w:type="dxa"/>
              <w:bottom w:w="70" w:type="dxa"/>
              <w:start w:w="100" w:type="dxa"/>
              <w:end w:w="100" w:type="dxa"/>
            </w:tcMar>
          </w:tcPr>
          <w:p>
            <w:pPr>
              <w:spacing w:after="0" w:line="247" w:lineRule="auto"/>
            </w:pPr>
            <w:r>
              <w:rPr>
                <w:rFonts w:ascii="Calibri" w:hAnsi="Calibri"/>
                <w:b w:val="0"/>
                <w:i w:val="0"/>
                <w:color w:val="0B2545"/>
                <w:sz w:val="16"/>
              </w:rPr>
              <w:t>Before value − selected sale value + proposed purchase value for the tier.</w:t>
            </w:r>
          </w:p>
        </w:tc>
      </w:tr>
      <w:tr>
        <w:trPr>
          <w:cantSplit/>
        </w:trPr>
        <w:tc>
          <w:tcPr>
            <w:tcW w:type="dxa" w:w="3300"/>
            <w:vAlign w:val="center"/>
            <w:tcMar>
              <w:top w:w="70" w:type="dxa"/>
              <w:bottom w:w="70" w:type="dxa"/>
              <w:start w:w="100" w:type="dxa"/>
              <w:end w:w="100" w:type="dxa"/>
            </w:tcMar>
          </w:tcPr>
          <w:p>
            <w:pPr>
              <w:spacing w:after="0" w:line="247" w:lineRule="auto"/>
            </w:pPr>
            <w:r>
              <w:rPr>
                <w:rFonts w:ascii="Calibri" w:hAnsi="Calibri"/>
                <w:b w:val="0"/>
                <w:i w:val="0"/>
                <w:color w:val="0B2545"/>
                <w:sz w:val="16"/>
              </w:rPr>
              <w:t>Invested denominator</w:t>
            </w:r>
          </w:p>
        </w:tc>
        <w:tc>
          <w:tcPr>
            <w:tcW w:type="dxa" w:w="6060"/>
            <w:vAlign w:val="center"/>
            <w:tcMar>
              <w:top w:w="70" w:type="dxa"/>
              <w:bottom w:w="70" w:type="dxa"/>
              <w:start w:w="100" w:type="dxa"/>
              <w:end w:w="100" w:type="dxa"/>
            </w:tcMar>
          </w:tcPr>
          <w:p>
            <w:pPr>
              <w:spacing w:after="0" w:line="247" w:lineRule="auto"/>
            </w:pPr>
            <w:r>
              <w:rPr>
                <w:rFonts w:ascii="Calibri" w:hAnsi="Calibri"/>
                <w:b w:val="0"/>
                <w:i w:val="0"/>
                <w:color w:val="0B2545"/>
                <w:sz w:val="16"/>
              </w:rPr>
              <w:t>Total included invested market value after the scenario; excludes uninvested cash.</w:t>
            </w:r>
          </w:p>
        </w:tc>
      </w:tr>
      <w:tr>
        <w:trPr>
          <w:cantSplit/>
        </w:trPr>
        <w:tc>
          <w:tcPr>
            <w:tcW w:type="dxa" w:w="3300"/>
            <w:vAlign w:val="center"/>
            <w:tcMar>
              <w:top w:w="70" w:type="dxa"/>
              <w:bottom w:w="70" w:type="dxa"/>
              <w:start w:w="100" w:type="dxa"/>
              <w:end w:w="100" w:type="dxa"/>
            </w:tcMar>
          </w:tcPr>
          <w:p>
            <w:pPr>
              <w:spacing w:after="0" w:line="247" w:lineRule="auto"/>
            </w:pPr>
            <w:r>
              <w:rPr>
                <w:rFonts w:ascii="Calibri" w:hAnsi="Calibri"/>
                <w:b w:val="0"/>
                <w:i w:val="0"/>
                <w:color w:val="0B2545"/>
                <w:sz w:val="16"/>
              </w:rPr>
              <w:t>Actual allocation before/after</w:t>
            </w:r>
          </w:p>
        </w:tc>
        <w:tc>
          <w:tcPr>
            <w:tcW w:type="dxa" w:w="6060"/>
            <w:vAlign w:val="center"/>
            <w:tcMar>
              <w:top w:w="70" w:type="dxa"/>
              <w:bottom w:w="70" w:type="dxa"/>
              <w:start w:w="100" w:type="dxa"/>
              <w:end w:w="100" w:type="dxa"/>
            </w:tcMar>
          </w:tcPr>
          <w:p>
            <w:pPr>
              <w:spacing w:after="0" w:line="247" w:lineRule="auto"/>
            </w:pPr>
            <w:r>
              <w:rPr>
                <w:rFonts w:ascii="Calibri" w:hAnsi="Calibri"/>
                <w:b w:val="0"/>
                <w:i w:val="0"/>
                <w:color w:val="0B2545"/>
                <w:sz w:val="16"/>
              </w:rPr>
              <w:t>Tier market value ÷ account invested denominator for each state.</w:t>
            </w:r>
          </w:p>
        </w:tc>
      </w:tr>
      <w:tr>
        <w:trPr>
          <w:cantSplit/>
        </w:trPr>
        <w:tc>
          <w:tcPr>
            <w:tcW w:type="dxa" w:w="3300"/>
            <w:vAlign w:val="center"/>
            <w:tcMar>
              <w:top w:w="70" w:type="dxa"/>
              <w:bottom w:w="70" w:type="dxa"/>
              <w:start w:w="100" w:type="dxa"/>
              <w:end w:w="100" w:type="dxa"/>
            </w:tcMar>
          </w:tcPr>
          <w:p>
            <w:pPr>
              <w:spacing w:after="0" w:line="247" w:lineRule="auto"/>
            </w:pPr>
            <w:r>
              <w:rPr>
                <w:rFonts w:ascii="Calibri" w:hAnsi="Calibri"/>
                <w:b w:val="0"/>
                <w:i w:val="0"/>
                <w:color w:val="0B2545"/>
                <w:sz w:val="16"/>
              </w:rPr>
              <w:t>Signed gap</w:t>
            </w:r>
          </w:p>
        </w:tc>
        <w:tc>
          <w:tcPr>
            <w:tcW w:type="dxa" w:w="6060"/>
            <w:vAlign w:val="center"/>
            <w:tcMar>
              <w:top w:w="70" w:type="dxa"/>
              <w:bottom w:w="70" w:type="dxa"/>
              <w:start w:w="100" w:type="dxa"/>
              <w:end w:w="100" w:type="dxa"/>
            </w:tcMar>
          </w:tcPr>
          <w:p>
            <w:pPr>
              <w:spacing w:after="0" w:line="247" w:lineRule="auto"/>
            </w:pPr>
            <w:r>
              <w:rPr>
                <w:rFonts w:ascii="Calibri" w:hAnsi="Calibri"/>
                <w:b w:val="0"/>
                <w:i w:val="0"/>
                <w:color w:val="0B2545"/>
                <w:sz w:val="16"/>
              </w:rPr>
              <w:t>Target percentage − actual percentage. Positive means underweight; negative means overweight.</w:t>
            </w:r>
          </w:p>
        </w:tc>
      </w:tr>
      <w:tr>
        <w:trPr>
          <w:cantSplit/>
        </w:trPr>
        <w:tc>
          <w:tcPr>
            <w:tcW w:type="dxa" w:w="3300"/>
            <w:vAlign w:val="center"/>
            <w:tcMar>
              <w:top w:w="70" w:type="dxa"/>
              <w:bottom w:w="70" w:type="dxa"/>
              <w:start w:w="100" w:type="dxa"/>
              <w:end w:w="100" w:type="dxa"/>
            </w:tcMar>
          </w:tcPr>
          <w:p>
            <w:pPr>
              <w:spacing w:after="0" w:line="247" w:lineRule="auto"/>
            </w:pPr>
            <w:r>
              <w:rPr>
                <w:rFonts w:ascii="Calibri" w:hAnsi="Calibri"/>
                <w:b w:val="0"/>
                <w:i w:val="0"/>
                <w:color w:val="0B2545"/>
                <w:sz w:val="16"/>
              </w:rPr>
              <w:t>Tier progress</w:t>
            </w:r>
          </w:p>
        </w:tc>
        <w:tc>
          <w:tcPr>
            <w:tcW w:type="dxa" w:w="6060"/>
            <w:vAlign w:val="center"/>
            <w:tcMar>
              <w:top w:w="70" w:type="dxa"/>
              <w:bottom w:w="70" w:type="dxa"/>
              <w:start w:w="100" w:type="dxa"/>
              <w:end w:w="100" w:type="dxa"/>
            </w:tcMar>
          </w:tcPr>
          <w:p>
            <w:pPr>
              <w:spacing w:after="0" w:line="247" w:lineRule="auto"/>
            </w:pPr>
            <w:r>
              <w:rPr>
                <w:rFonts w:ascii="Calibri" w:hAnsi="Calibri"/>
                <w:b w:val="0"/>
                <w:i w:val="0"/>
                <w:color w:val="0B2545"/>
                <w:sz w:val="16"/>
              </w:rPr>
              <w:t>Absolute gap before − absolute gap after. Positive means the scenario moves closer to target.</w:t>
            </w:r>
          </w:p>
        </w:tc>
      </w:tr>
      <w:tr>
        <w:trPr>
          <w:cantSplit/>
        </w:trPr>
        <w:tc>
          <w:tcPr>
            <w:tcW w:type="dxa" w:w="3300"/>
            <w:vAlign w:val="center"/>
            <w:tcMar>
              <w:top w:w="70" w:type="dxa"/>
              <w:bottom w:w="70" w:type="dxa"/>
              <w:start w:w="100" w:type="dxa"/>
              <w:end w:w="100" w:type="dxa"/>
            </w:tcMar>
          </w:tcPr>
          <w:p>
            <w:pPr>
              <w:spacing w:after="0" w:line="247" w:lineRule="auto"/>
            </w:pPr>
            <w:r>
              <w:rPr>
                <w:rFonts w:ascii="Calibri" w:hAnsi="Calibri"/>
                <w:b w:val="0"/>
                <w:i w:val="0"/>
                <w:color w:val="0B2545"/>
                <w:sz w:val="16"/>
              </w:rPr>
              <w:t>Overall allocation-distance change</w:t>
            </w:r>
          </w:p>
        </w:tc>
        <w:tc>
          <w:tcPr>
            <w:tcW w:type="dxa" w:w="6060"/>
            <w:vAlign w:val="center"/>
            <w:tcMar>
              <w:top w:w="70" w:type="dxa"/>
              <w:bottom w:w="70" w:type="dxa"/>
              <w:start w:w="100" w:type="dxa"/>
              <w:end w:w="100" w:type="dxa"/>
            </w:tcMar>
          </w:tcPr>
          <w:p>
            <w:pPr>
              <w:spacing w:after="0" w:line="247" w:lineRule="auto"/>
            </w:pPr>
            <w:r>
              <w:rPr>
                <w:rFonts w:ascii="Calibri" w:hAnsi="Calibri"/>
                <w:b w:val="0"/>
                <w:i w:val="0"/>
                <w:color w:val="0B2545"/>
                <w:sz w:val="16"/>
              </w:rPr>
              <w:t>Sum of absolute tier gaps before − sum after, shown in percentage points.</w:t>
            </w:r>
          </w:p>
        </w:tc>
      </w:tr>
      <w:tr>
        <w:trPr>
          <w:cantSplit/>
        </w:trPr>
        <w:tc>
          <w:tcPr>
            <w:tcW w:type="dxa" w:w="3300"/>
            <w:vAlign w:val="center"/>
            <w:tcMar>
              <w:top w:w="70" w:type="dxa"/>
              <w:bottom w:w="70" w:type="dxa"/>
              <w:start w:w="100" w:type="dxa"/>
              <w:end w:w="100" w:type="dxa"/>
            </w:tcMar>
          </w:tcPr>
          <w:p>
            <w:pPr>
              <w:spacing w:after="0" w:line="247" w:lineRule="auto"/>
            </w:pPr>
            <w:r>
              <w:rPr>
                <w:rFonts w:ascii="Calibri" w:hAnsi="Calibri"/>
                <w:b w:val="0"/>
                <w:i w:val="0"/>
                <w:color w:val="0B2545"/>
                <w:sz w:val="16"/>
              </w:rPr>
              <w:t>Portfolio rollup</w:t>
            </w:r>
          </w:p>
        </w:tc>
        <w:tc>
          <w:tcPr>
            <w:tcW w:type="dxa" w:w="6060"/>
            <w:vAlign w:val="center"/>
            <w:tcMar>
              <w:top w:w="70" w:type="dxa"/>
              <w:bottom w:w="70" w:type="dxa"/>
              <w:start w:w="100" w:type="dxa"/>
              <w:end w:w="100" w:type="dxa"/>
            </w:tcMar>
          </w:tcPr>
          <w:p>
            <w:pPr>
              <w:spacing w:after="0" w:line="247" w:lineRule="auto"/>
            </w:pPr>
            <w:r>
              <w:rPr>
                <w:rFonts w:ascii="Calibri" w:hAnsi="Calibri"/>
                <w:b w:val="0"/>
                <w:i w:val="0"/>
                <w:color w:val="0B2545"/>
                <w:sz w:val="16"/>
              </w:rPr>
              <w:t>Same calculations across included accounts, using governed portfolio allocation targets.</w:t>
            </w:r>
          </w:p>
        </w:tc>
      </w:tr>
    </w:tbl>
    <w:p>
      <w:pPr>
        <w:spacing w:after="20"/>
      </w:pPr>
    </w:p>
    <w:p>
      <w:r>
        <w:rPr>
          <w:rFonts w:ascii="Calibri" w:hAnsi="Calibri"/>
          <w:b w:val="0"/>
          <w:i w:val="0"/>
          <w:color w:val="0B2545"/>
          <w:sz w:val="22"/>
        </w:rPr>
        <w:t>The display must show the contribution of each proposed purchase and sale to allocation movement. A scenario that improves income while worsening an allocation goal remains selectable, but it must display the deterioration and require an approval reason.</w:t>
      </w:r>
    </w:p>
    <w:p>
      <w:pPr>
        <w:pStyle w:val="Heading1"/>
      </w:pPr>
      <w:r>
        <w:t>8. Recommendation and Approval Policy</w:t>
      </w:r>
    </w:p>
    <w:p>
      <w:r>
        <w:rPr>
          <w:rFonts w:ascii="Calibri" w:hAnsi="Calibri"/>
          <w:b w:val="0"/>
          <w:i w:val="0"/>
          <w:color w:val="0B2545"/>
          <w:sz w:val="22"/>
        </w:rPr>
        <w:t>The application may rank candidate baskets, but it must not collapse the owner’s priorities into an unexplained score. Each dimension is displayed independently, with source and calculation details available.</w:t>
      </w:r>
    </w:p>
    <w:tbl>
      <w:tblPr>
        <w:tblStyle w:val="TableGrid"/>
        <w:tblW w:type="dxa" w:w="9360"/>
        <w:jc w:val="left"/>
        <w:tblLayout w:type="fixed"/>
        <w:tblLook w:firstColumn="1" w:firstRow="1" w:lastColumn="0" w:lastRow="0" w:noHBand="0" w:noVBand="1" w:val="04A0"/>
      </w:tblPr>
      <w:tblGrid>
        <w:gridCol w:w="2550"/>
        <w:gridCol w:w="6810"/>
      </w:tblGrid>
      <w:tr>
        <w:trPr>
          <w:tblHeader w:val="true"/>
          <w:cantSplit/>
        </w:trPr>
        <w:tc>
          <w:tcPr>
            <w:tcW w:type="dxa" w:w="2550"/>
            <w:shd w:fill="F2F4F7"/>
            <w:vAlign w:val="center"/>
            <w:tcMar>
              <w:top w:w="70" w:type="dxa"/>
              <w:bottom w:w="70" w:type="dxa"/>
              <w:start w:w="100" w:type="dxa"/>
              <w:end w:w="100" w:type="dxa"/>
            </w:tcMar>
          </w:tcPr>
          <w:p>
            <w:pPr>
              <w:spacing w:after="0"/>
            </w:pPr>
            <w:r>
              <w:rPr>
                <w:rFonts w:ascii="Calibri" w:hAnsi="Calibri"/>
                <w:b/>
                <w:i w:val="0"/>
                <w:color w:val="0B2545"/>
                <w:sz w:val="16"/>
              </w:rPr>
              <w:t>Decision dimension</w:t>
            </w:r>
          </w:p>
        </w:tc>
        <w:tc>
          <w:tcPr>
            <w:tcW w:type="dxa" w:w="6810"/>
            <w:shd w:fill="F2F4F7"/>
            <w:vAlign w:val="center"/>
            <w:tcMar>
              <w:top w:w="70" w:type="dxa"/>
              <w:bottom w:w="70" w:type="dxa"/>
              <w:start w:w="100" w:type="dxa"/>
              <w:end w:w="100" w:type="dxa"/>
            </w:tcMar>
          </w:tcPr>
          <w:p>
            <w:pPr>
              <w:spacing w:after="0"/>
            </w:pPr>
            <w:r>
              <w:rPr>
                <w:rFonts w:ascii="Calibri" w:hAnsi="Calibri"/>
                <w:b/>
                <w:i w:val="0"/>
                <w:color w:val="0B2545"/>
                <w:sz w:val="16"/>
              </w:rPr>
              <w:t>Required evidence</w:t>
            </w:r>
          </w:p>
        </w:tc>
      </w:tr>
      <w:tr>
        <w:trPr>
          <w:cantSplit/>
        </w:trPr>
        <w:tc>
          <w:tcPr>
            <w:tcW w:type="dxa" w:w="2550"/>
            <w:vAlign w:val="center"/>
            <w:tcMar>
              <w:top w:w="70" w:type="dxa"/>
              <w:bottom w:w="70" w:type="dxa"/>
              <w:start w:w="100" w:type="dxa"/>
              <w:end w:w="100" w:type="dxa"/>
            </w:tcMar>
          </w:tcPr>
          <w:p>
            <w:pPr>
              <w:spacing w:after="0" w:line="247" w:lineRule="auto"/>
            </w:pPr>
            <w:r>
              <w:rPr>
                <w:rFonts w:ascii="Calibri" w:hAnsi="Calibri"/>
                <w:b w:val="0"/>
                <w:i w:val="0"/>
                <w:color w:val="0B2545"/>
                <w:sz w:val="16"/>
              </w:rPr>
              <w:t>Reliable income</w:t>
            </w:r>
          </w:p>
        </w:tc>
        <w:tc>
          <w:tcPr>
            <w:tcW w:type="dxa" w:w="6810"/>
            <w:vAlign w:val="center"/>
            <w:tcMar>
              <w:top w:w="70" w:type="dxa"/>
              <w:bottom w:w="70" w:type="dxa"/>
              <w:start w:w="100" w:type="dxa"/>
              <w:end w:w="100" w:type="dxa"/>
            </w:tcMar>
          </w:tcPr>
          <w:p>
            <w:pPr>
              <w:spacing w:after="0" w:line="247" w:lineRule="auto"/>
            </w:pPr>
            <w:r>
              <w:rPr>
                <w:rFonts w:ascii="Calibri" w:hAnsi="Calibri"/>
                <w:b w:val="0"/>
                <w:i w:val="0"/>
                <w:color w:val="0B2545"/>
                <w:sz w:val="16"/>
              </w:rPr>
              <w:t>Net annual/monthly income change, plan confidence, declaration variance and payout cadence.</w:t>
            </w:r>
          </w:p>
        </w:tc>
      </w:tr>
      <w:tr>
        <w:trPr>
          <w:cantSplit/>
        </w:trPr>
        <w:tc>
          <w:tcPr>
            <w:tcW w:type="dxa" w:w="2550"/>
            <w:vAlign w:val="center"/>
            <w:tcMar>
              <w:top w:w="70" w:type="dxa"/>
              <w:bottom w:w="70" w:type="dxa"/>
              <w:start w:w="100" w:type="dxa"/>
              <w:end w:w="100" w:type="dxa"/>
            </w:tcMar>
          </w:tcPr>
          <w:p>
            <w:pPr>
              <w:spacing w:after="0" w:line="247" w:lineRule="auto"/>
            </w:pPr>
            <w:r>
              <w:rPr>
                <w:rFonts w:ascii="Calibri" w:hAnsi="Calibri"/>
                <w:b w:val="0"/>
                <w:i w:val="0"/>
                <w:color w:val="0B2545"/>
                <w:sz w:val="16"/>
              </w:rPr>
              <w:t>Principal preservation</w:t>
            </w:r>
          </w:p>
        </w:tc>
        <w:tc>
          <w:tcPr>
            <w:tcW w:type="dxa" w:w="6810"/>
            <w:vAlign w:val="center"/>
            <w:tcMar>
              <w:top w:w="70" w:type="dxa"/>
              <w:bottom w:w="70" w:type="dxa"/>
              <w:start w:w="100" w:type="dxa"/>
              <w:end w:w="100" w:type="dxa"/>
            </w:tcMar>
          </w:tcPr>
          <w:p>
            <w:pPr>
              <w:spacing w:after="0" w:line="247" w:lineRule="auto"/>
            </w:pPr>
            <w:r>
              <w:rPr>
                <w:rFonts w:ascii="Calibri" w:hAnsi="Calibri"/>
                <w:b w:val="0"/>
                <w:i w:val="0"/>
                <w:color w:val="0B2545"/>
                <w:sz w:val="16"/>
              </w:rPr>
              <w:t>Unrealized/realized P/L, NAV erosion indicators, total-return history and backtesting analysis.</w:t>
            </w:r>
          </w:p>
        </w:tc>
      </w:tr>
      <w:tr>
        <w:trPr>
          <w:cantSplit/>
        </w:trPr>
        <w:tc>
          <w:tcPr>
            <w:tcW w:type="dxa" w:w="2550"/>
            <w:vAlign w:val="center"/>
            <w:tcMar>
              <w:top w:w="70" w:type="dxa"/>
              <w:bottom w:w="70" w:type="dxa"/>
              <w:start w:w="100" w:type="dxa"/>
              <w:end w:w="100" w:type="dxa"/>
            </w:tcMar>
          </w:tcPr>
          <w:p>
            <w:pPr>
              <w:spacing w:after="0" w:line="247" w:lineRule="auto"/>
            </w:pPr>
            <w:r>
              <w:rPr>
                <w:rFonts w:ascii="Calibri" w:hAnsi="Calibri"/>
                <w:b w:val="0"/>
                <w:i w:val="0"/>
                <w:color w:val="0B2545"/>
                <w:sz w:val="16"/>
              </w:rPr>
              <w:t>Allocation progress</w:t>
            </w:r>
          </w:p>
        </w:tc>
        <w:tc>
          <w:tcPr>
            <w:tcW w:type="dxa" w:w="6810"/>
            <w:vAlign w:val="center"/>
            <w:tcMar>
              <w:top w:w="70" w:type="dxa"/>
              <w:bottom w:w="70" w:type="dxa"/>
              <w:start w:w="100" w:type="dxa"/>
              <w:end w:w="100" w:type="dxa"/>
            </w:tcMar>
          </w:tcPr>
          <w:p>
            <w:pPr>
              <w:spacing w:after="0" w:line="247" w:lineRule="auto"/>
            </w:pPr>
            <w:r>
              <w:rPr>
                <w:rFonts w:ascii="Calibri" w:hAnsi="Calibri"/>
                <w:b w:val="0"/>
                <w:i w:val="0"/>
                <w:color w:val="0B2545"/>
                <w:sz w:val="16"/>
              </w:rPr>
              <w:t>Account and portfolio tier gaps before/after; concentration change.</w:t>
            </w:r>
          </w:p>
        </w:tc>
      </w:tr>
      <w:tr>
        <w:trPr>
          <w:cantSplit/>
        </w:trPr>
        <w:tc>
          <w:tcPr>
            <w:tcW w:type="dxa" w:w="2550"/>
            <w:vAlign w:val="center"/>
            <w:tcMar>
              <w:top w:w="70" w:type="dxa"/>
              <w:bottom w:w="70" w:type="dxa"/>
              <w:start w:w="100" w:type="dxa"/>
              <w:end w:w="100" w:type="dxa"/>
            </w:tcMar>
          </w:tcPr>
          <w:p>
            <w:pPr>
              <w:spacing w:after="0" w:line="247" w:lineRule="auto"/>
            </w:pPr>
            <w:r>
              <w:rPr>
                <w:rFonts w:ascii="Calibri" w:hAnsi="Calibri"/>
                <w:b w:val="0"/>
                <w:i w:val="0"/>
                <w:color w:val="0B2545"/>
                <w:sz w:val="16"/>
              </w:rPr>
              <w:t>Tax/account impact</w:t>
            </w:r>
          </w:p>
        </w:tc>
        <w:tc>
          <w:tcPr>
            <w:tcW w:type="dxa" w:w="6810"/>
            <w:vAlign w:val="center"/>
            <w:tcMar>
              <w:top w:w="70" w:type="dxa"/>
              <w:bottom w:w="70" w:type="dxa"/>
              <w:start w:w="100" w:type="dxa"/>
              <w:end w:w="100" w:type="dxa"/>
            </w:tcMar>
          </w:tcPr>
          <w:p>
            <w:pPr>
              <w:spacing w:after="0" w:line="247" w:lineRule="auto"/>
            </w:pPr>
            <w:r>
              <w:rPr>
                <w:rFonts w:ascii="Calibri" w:hAnsi="Calibri"/>
                <w:b w:val="0"/>
                <w:i w:val="0"/>
                <w:color w:val="0B2545"/>
                <w:sz w:val="16"/>
              </w:rPr>
              <w:t>Account type, estimated taxable gain/loss, tax handling and separately labeled tax-basis information when available.</w:t>
            </w:r>
          </w:p>
        </w:tc>
      </w:tr>
      <w:tr>
        <w:trPr>
          <w:cantSplit/>
        </w:trPr>
        <w:tc>
          <w:tcPr>
            <w:tcW w:type="dxa" w:w="2550"/>
            <w:vAlign w:val="center"/>
            <w:tcMar>
              <w:top w:w="70" w:type="dxa"/>
              <w:bottom w:w="70" w:type="dxa"/>
              <w:start w:w="100" w:type="dxa"/>
              <w:end w:w="100" w:type="dxa"/>
            </w:tcMar>
          </w:tcPr>
          <w:p>
            <w:pPr>
              <w:spacing w:after="0" w:line="247" w:lineRule="auto"/>
            </w:pPr>
            <w:r>
              <w:rPr>
                <w:rFonts w:ascii="Calibri" w:hAnsi="Calibri"/>
                <w:b w:val="0"/>
                <w:i w:val="0"/>
                <w:color w:val="0B2545"/>
                <w:sz w:val="16"/>
              </w:rPr>
              <w:t>Liquidity</w:t>
            </w:r>
          </w:p>
        </w:tc>
        <w:tc>
          <w:tcPr>
            <w:tcW w:type="dxa" w:w="6810"/>
            <w:vAlign w:val="center"/>
            <w:tcMar>
              <w:top w:w="70" w:type="dxa"/>
              <w:bottom w:w="70" w:type="dxa"/>
              <w:start w:w="100" w:type="dxa"/>
              <w:end w:w="100" w:type="dxa"/>
            </w:tcMar>
          </w:tcPr>
          <w:p>
            <w:pPr>
              <w:spacing w:after="0" w:line="247" w:lineRule="auto"/>
            </w:pPr>
            <w:r>
              <w:rPr>
                <w:rFonts w:ascii="Calibri" w:hAnsi="Calibri"/>
                <w:b w:val="0"/>
                <w:i w:val="0"/>
                <w:color w:val="0B2545"/>
                <w:sz w:val="16"/>
              </w:rPr>
              <w:t>Gross funds, proposed spend, unallocated cash and configured cash floor.</w:t>
            </w:r>
          </w:p>
        </w:tc>
      </w:tr>
      <w:tr>
        <w:trPr>
          <w:cantSplit/>
        </w:trPr>
        <w:tc>
          <w:tcPr>
            <w:tcW w:type="dxa" w:w="2550"/>
            <w:vAlign w:val="center"/>
            <w:tcMar>
              <w:top w:w="70" w:type="dxa"/>
              <w:bottom w:w="70" w:type="dxa"/>
              <w:start w:w="100" w:type="dxa"/>
              <w:end w:w="100" w:type="dxa"/>
            </w:tcMar>
          </w:tcPr>
          <w:p>
            <w:pPr>
              <w:spacing w:after="0" w:line="247" w:lineRule="auto"/>
            </w:pPr>
            <w:r>
              <w:rPr>
                <w:rFonts w:ascii="Calibri" w:hAnsi="Calibri"/>
                <w:b w:val="0"/>
                <w:i w:val="0"/>
                <w:color w:val="0B2545"/>
                <w:sz w:val="16"/>
              </w:rPr>
              <w:t>Data quality</w:t>
            </w:r>
          </w:p>
        </w:tc>
        <w:tc>
          <w:tcPr>
            <w:tcW w:type="dxa" w:w="6810"/>
            <w:vAlign w:val="center"/>
            <w:tcMar>
              <w:top w:w="70" w:type="dxa"/>
              <w:bottom w:w="70" w:type="dxa"/>
              <w:start w:w="100" w:type="dxa"/>
              <w:end w:w="100" w:type="dxa"/>
            </w:tcMar>
          </w:tcPr>
          <w:p>
            <w:pPr>
              <w:spacing w:after="0" w:line="247" w:lineRule="auto"/>
            </w:pPr>
            <w:r>
              <w:rPr>
                <w:rFonts w:ascii="Calibri" w:hAnsi="Calibri"/>
                <w:b w:val="0"/>
                <w:i w:val="0"/>
                <w:color w:val="0B2545"/>
                <w:sz w:val="16"/>
              </w:rPr>
              <w:t>Price age, dividend-plan version/confidence, missing classification and unresolved symbol/lot issues.</w:t>
            </w:r>
          </w:p>
        </w:tc>
      </w:tr>
    </w:tbl>
    <w:p>
      <w:pPr>
        <w:spacing w:after="20"/>
      </w:pPr>
    </w:p>
    <w:tbl>
      <w:tblPr>
        <w:tblStyle w:val="TableGrid"/>
        <w:tblW w:type="dxa" w:w="9360"/>
        <w:jc w:val="left"/>
        <w:tblLayout w:type="fixed"/>
        <w:tblLook w:firstColumn="1" w:firstRow="1" w:lastColumn="0" w:lastRow="0" w:noHBand="0" w:noVBand="1" w:val="04A0"/>
      </w:tblPr>
      <w:tblGrid>
        <w:gridCol w:w="9360"/>
      </w:tblGrid>
      <w:tr>
        <w:trPr>
          <w:cantSplit/>
        </w:trPr>
        <w:tc>
          <w:tcPr>
            <w:tcW w:type="dxa" w:w="9360"/>
            <w:vAlign w:val="center"/>
            <w:tcMar>
              <w:top w:w="110" w:type="dxa"/>
              <w:bottom w:w="110" w:type="dxa"/>
              <w:start w:w="120" w:type="dxa"/>
              <w:end w:w="120" w:type="dxa"/>
            </w:tcMar>
            <w:shd w:fill="FFF2CC"/>
          </w:tcPr>
          <w:p>
            <w:pPr>
              <w:spacing w:after="0"/>
            </w:pPr>
            <w:r>
              <w:rPr>
                <w:rFonts w:ascii="Calibri" w:hAnsi="Calibri"/>
                <w:b/>
                <w:i w:val="0"/>
                <w:color w:val="1F4D78"/>
                <w:sz w:val="22"/>
              </w:rPr>
              <w:t xml:space="preserve">Approved control: </w:t>
            </w:r>
            <w:r>
              <w:rPr>
                <w:rFonts w:ascii="Calibri" w:hAnsi="Calibri"/>
                <w:b w:val="0"/>
                <w:i w:val="0"/>
                <w:color w:val="1F4D78"/>
                <w:sz w:val="22"/>
              </w:rPr>
              <w:t>Allocation deterioration and other advisory concerns warn but do not prohibit an owner decision. Approval requires an override reason. Missing account, invalid quantities, negative unexplained cash, unresolved lot identity or unusable calculation inputs are blocking errors.</w:t>
            </w:r>
          </w:p>
        </w:tc>
      </w:tr>
    </w:tbl>
    <w:p>
      <w:pPr>
        <w:spacing w:after="20"/>
      </w:pPr>
    </w:p>
    <w:p>
      <w:pPr>
        <w:pStyle w:val="Heading1"/>
      </w:pPr>
      <w:r>
        <w:t>9. Scenario Status and Versioning</w:t>
      </w:r>
    </w:p>
    <w:tbl>
      <w:tblPr>
        <w:tblStyle w:val="TableGrid"/>
        <w:tblW w:type="dxa" w:w="9360"/>
        <w:jc w:val="left"/>
        <w:tblLayout w:type="fixed"/>
        <w:tblLook w:firstColumn="1" w:firstRow="1" w:lastColumn="0" w:lastRow="0" w:noHBand="0" w:noVBand="1" w:val="04A0"/>
      </w:tblPr>
      <w:tblGrid>
        <w:gridCol w:w="1750"/>
        <w:gridCol w:w="3400"/>
        <w:gridCol w:w="4210"/>
      </w:tblGrid>
      <w:tr>
        <w:trPr>
          <w:tblHeader w:val="true"/>
          <w:cantSplit/>
        </w:trPr>
        <w:tc>
          <w:tcPr>
            <w:tcW w:type="dxa" w:w="1750"/>
            <w:shd w:fill="F2F4F7"/>
            <w:vAlign w:val="center"/>
            <w:tcMar>
              <w:top w:w="70" w:type="dxa"/>
              <w:bottom w:w="70" w:type="dxa"/>
              <w:start w:w="100" w:type="dxa"/>
              <w:end w:w="100" w:type="dxa"/>
            </w:tcMar>
          </w:tcPr>
          <w:p>
            <w:pPr>
              <w:spacing w:after="0"/>
            </w:pPr>
            <w:r>
              <w:rPr>
                <w:rFonts w:ascii="Calibri" w:hAnsi="Calibri"/>
                <w:b/>
                <w:i w:val="0"/>
                <w:color w:val="0B2545"/>
                <w:sz w:val="16"/>
              </w:rPr>
              <w:t>Status</w:t>
            </w:r>
          </w:p>
        </w:tc>
        <w:tc>
          <w:tcPr>
            <w:tcW w:type="dxa" w:w="3400"/>
            <w:shd w:fill="F2F4F7"/>
            <w:vAlign w:val="center"/>
            <w:tcMar>
              <w:top w:w="70" w:type="dxa"/>
              <w:bottom w:w="70" w:type="dxa"/>
              <w:start w:w="100" w:type="dxa"/>
              <w:end w:w="100" w:type="dxa"/>
            </w:tcMar>
          </w:tcPr>
          <w:p>
            <w:pPr>
              <w:spacing w:after="0"/>
            </w:pPr>
            <w:r>
              <w:rPr>
                <w:rFonts w:ascii="Calibri" w:hAnsi="Calibri"/>
                <w:b/>
                <w:i w:val="0"/>
                <w:color w:val="0B2545"/>
                <w:sz w:val="16"/>
              </w:rPr>
              <w:t>Meaning</w:t>
            </w:r>
          </w:p>
        </w:tc>
        <w:tc>
          <w:tcPr>
            <w:tcW w:type="dxa" w:w="4210"/>
            <w:shd w:fill="F2F4F7"/>
            <w:vAlign w:val="center"/>
            <w:tcMar>
              <w:top w:w="70" w:type="dxa"/>
              <w:bottom w:w="70" w:type="dxa"/>
              <w:start w:w="100" w:type="dxa"/>
              <w:end w:w="100" w:type="dxa"/>
            </w:tcMar>
          </w:tcPr>
          <w:p>
            <w:pPr>
              <w:spacing w:after="0"/>
            </w:pPr>
            <w:r>
              <w:rPr>
                <w:rFonts w:ascii="Calibri" w:hAnsi="Calibri"/>
                <w:b/>
                <w:i w:val="0"/>
                <w:color w:val="0B2545"/>
                <w:sz w:val="16"/>
              </w:rPr>
              <w:t>Data effect</w:t>
            </w:r>
          </w:p>
        </w:tc>
      </w:tr>
      <w:tr>
        <w:trPr>
          <w:cantSplit/>
        </w:trPr>
        <w:tc>
          <w:tcPr>
            <w:tcW w:type="dxa" w:w="1750"/>
            <w:vAlign w:val="center"/>
            <w:tcMar>
              <w:top w:w="70" w:type="dxa"/>
              <w:bottom w:w="70" w:type="dxa"/>
              <w:start w:w="100" w:type="dxa"/>
              <w:end w:w="100" w:type="dxa"/>
            </w:tcMar>
          </w:tcPr>
          <w:p>
            <w:pPr>
              <w:spacing w:after="0" w:line="247" w:lineRule="auto"/>
            </w:pPr>
            <w:r>
              <w:rPr>
                <w:rFonts w:ascii="Calibri" w:hAnsi="Calibri"/>
                <w:b w:val="0"/>
                <w:i w:val="0"/>
                <w:color w:val="0B2545"/>
                <w:sz w:val="16"/>
              </w:rPr>
              <w:t>Draft</w:t>
            </w:r>
          </w:p>
        </w:tc>
        <w:tc>
          <w:tcPr>
            <w:tcW w:type="dxa" w:w="3400"/>
            <w:vAlign w:val="center"/>
            <w:tcMar>
              <w:top w:w="70" w:type="dxa"/>
              <w:bottom w:w="70" w:type="dxa"/>
              <w:start w:w="100" w:type="dxa"/>
              <w:end w:w="100" w:type="dxa"/>
            </w:tcMar>
          </w:tcPr>
          <w:p>
            <w:pPr>
              <w:spacing w:after="0" w:line="247" w:lineRule="auto"/>
            </w:pPr>
            <w:r>
              <w:rPr>
                <w:rFonts w:ascii="Calibri" w:hAnsi="Calibri"/>
                <w:b w:val="0"/>
                <w:i w:val="0"/>
                <w:color w:val="0B2545"/>
                <w:sz w:val="16"/>
              </w:rPr>
              <w:t>Editable what-if under construction.</w:t>
            </w:r>
          </w:p>
        </w:tc>
        <w:tc>
          <w:tcPr>
            <w:tcW w:type="dxa" w:w="4210"/>
            <w:vAlign w:val="center"/>
            <w:tcMar>
              <w:top w:w="70" w:type="dxa"/>
              <w:bottom w:w="70" w:type="dxa"/>
              <w:start w:w="100" w:type="dxa"/>
              <w:end w:w="100" w:type="dxa"/>
            </w:tcMar>
          </w:tcPr>
          <w:p>
            <w:pPr>
              <w:spacing w:after="0" w:line="247" w:lineRule="auto"/>
            </w:pPr>
            <w:r>
              <w:rPr>
                <w:rFonts w:ascii="Calibri" w:hAnsi="Calibri"/>
                <w:b w:val="0"/>
                <w:i w:val="0"/>
                <w:color w:val="0B2545"/>
                <w:sz w:val="16"/>
              </w:rPr>
              <w:t>No effect on holdings, ROI, Income Plan or actual allocation.</w:t>
            </w:r>
          </w:p>
        </w:tc>
      </w:tr>
      <w:tr>
        <w:trPr>
          <w:cantSplit/>
        </w:trPr>
        <w:tc>
          <w:tcPr>
            <w:tcW w:type="dxa" w:w="1750"/>
            <w:vAlign w:val="center"/>
            <w:tcMar>
              <w:top w:w="70" w:type="dxa"/>
              <w:bottom w:w="70" w:type="dxa"/>
              <w:start w:w="100" w:type="dxa"/>
              <w:end w:w="100" w:type="dxa"/>
            </w:tcMar>
          </w:tcPr>
          <w:p>
            <w:pPr>
              <w:spacing w:after="0" w:line="247" w:lineRule="auto"/>
            </w:pPr>
            <w:r>
              <w:rPr>
                <w:rFonts w:ascii="Calibri" w:hAnsi="Calibri"/>
                <w:b w:val="0"/>
                <w:i w:val="0"/>
                <w:color w:val="0B2545"/>
                <w:sz w:val="16"/>
              </w:rPr>
              <w:t>Ready for review</w:t>
            </w:r>
          </w:p>
        </w:tc>
        <w:tc>
          <w:tcPr>
            <w:tcW w:type="dxa" w:w="3400"/>
            <w:vAlign w:val="center"/>
            <w:tcMar>
              <w:top w:w="70" w:type="dxa"/>
              <w:bottom w:w="70" w:type="dxa"/>
              <w:start w:w="100" w:type="dxa"/>
              <w:end w:w="100" w:type="dxa"/>
            </w:tcMar>
          </w:tcPr>
          <w:p>
            <w:pPr>
              <w:spacing w:after="0" w:line="247" w:lineRule="auto"/>
            </w:pPr>
            <w:r>
              <w:rPr>
                <w:rFonts w:ascii="Calibri" w:hAnsi="Calibri"/>
                <w:b w:val="0"/>
                <w:i w:val="0"/>
                <w:color w:val="0B2545"/>
                <w:sz w:val="16"/>
              </w:rPr>
              <w:t>Calculations valid; warnings visible.</w:t>
            </w:r>
          </w:p>
        </w:tc>
        <w:tc>
          <w:tcPr>
            <w:tcW w:type="dxa" w:w="4210"/>
            <w:vAlign w:val="center"/>
            <w:tcMar>
              <w:top w:w="70" w:type="dxa"/>
              <w:bottom w:w="70" w:type="dxa"/>
              <w:start w:w="100" w:type="dxa"/>
              <w:end w:w="100" w:type="dxa"/>
            </w:tcMar>
          </w:tcPr>
          <w:p>
            <w:pPr>
              <w:spacing w:after="0" w:line="247" w:lineRule="auto"/>
            </w:pPr>
            <w:r>
              <w:rPr>
                <w:rFonts w:ascii="Calibri" w:hAnsi="Calibri"/>
                <w:b w:val="0"/>
                <w:i w:val="0"/>
                <w:color w:val="0B2545"/>
                <w:sz w:val="16"/>
              </w:rPr>
              <w:t>No effect on actuals.</w:t>
            </w:r>
          </w:p>
        </w:tc>
      </w:tr>
      <w:tr>
        <w:trPr>
          <w:cantSplit/>
        </w:trPr>
        <w:tc>
          <w:tcPr>
            <w:tcW w:type="dxa" w:w="1750"/>
            <w:vAlign w:val="center"/>
            <w:tcMar>
              <w:top w:w="70" w:type="dxa"/>
              <w:bottom w:w="70" w:type="dxa"/>
              <w:start w:w="100" w:type="dxa"/>
              <w:end w:w="100" w:type="dxa"/>
            </w:tcMar>
          </w:tcPr>
          <w:p>
            <w:pPr>
              <w:spacing w:after="0" w:line="247" w:lineRule="auto"/>
            </w:pPr>
            <w:r>
              <w:rPr>
                <w:rFonts w:ascii="Calibri" w:hAnsi="Calibri"/>
                <w:b w:val="0"/>
                <w:i w:val="0"/>
                <w:color w:val="0B2545"/>
                <w:sz w:val="16"/>
              </w:rPr>
              <w:t>Approved</w:t>
            </w:r>
          </w:p>
        </w:tc>
        <w:tc>
          <w:tcPr>
            <w:tcW w:type="dxa" w:w="3400"/>
            <w:vAlign w:val="center"/>
            <w:tcMar>
              <w:top w:w="70" w:type="dxa"/>
              <w:bottom w:w="70" w:type="dxa"/>
              <w:start w:w="100" w:type="dxa"/>
              <w:end w:w="100" w:type="dxa"/>
            </w:tcMar>
          </w:tcPr>
          <w:p>
            <w:pPr>
              <w:spacing w:after="0" w:line="247" w:lineRule="auto"/>
            </w:pPr>
            <w:r>
              <w:rPr>
                <w:rFonts w:ascii="Calibri" w:hAnsi="Calibri"/>
                <w:b w:val="0"/>
                <w:i w:val="0"/>
                <w:color w:val="0B2545"/>
                <w:sz w:val="16"/>
              </w:rPr>
              <w:t>Owner approved a specific immutable scenario version.</w:t>
            </w:r>
          </w:p>
        </w:tc>
        <w:tc>
          <w:tcPr>
            <w:tcW w:type="dxa" w:w="4210"/>
            <w:vAlign w:val="center"/>
            <w:tcMar>
              <w:top w:w="70" w:type="dxa"/>
              <w:bottom w:w="70" w:type="dxa"/>
              <w:start w:w="100" w:type="dxa"/>
              <w:end w:w="100" w:type="dxa"/>
            </w:tcMar>
          </w:tcPr>
          <w:p>
            <w:pPr>
              <w:spacing w:after="0" w:line="247" w:lineRule="auto"/>
            </w:pPr>
            <w:r>
              <w:rPr>
                <w:rFonts w:ascii="Calibri" w:hAnsi="Calibri"/>
                <w:b w:val="0"/>
                <w:i w:val="0"/>
                <w:color w:val="0B2545"/>
                <w:sz w:val="16"/>
              </w:rPr>
              <w:t>Available for execution matching; still no actual holdings effect.</w:t>
            </w:r>
          </w:p>
        </w:tc>
      </w:tr>
      <w:tr>
        <w:trPr>
          <w:cantSplit/>
        </w:trPr>
        <w:tc>
          <w:tcPr>
            <w:tcW w:type="dxa" w:w="1750"/>
            <w:vAlign w:val="center"/>
            <w:tcMar>
              <w:top w:w="70" w:type="dxa"/>
              <w:bottom w:w="70" w:type="dxa"/>
              <w:start w:w="100" w:type="dxa"/>
              <w:end w:w="100" w:type="dxa"/>
            </w:tcMar>
          </w:tcPr>
          <w:p>
            <w:pPr>
              <w:spacing w:after="0" w:line="247" w:lineRule="auto"/>
            </w:pPr>
            <w:r>
              <w:rPr>
                <w:rFonts w:ascii="Calibri" w:hAnsi="Calibri"/>
                <w:b w:val="0"/>
                <w:i w:val="0"/>
                <w:color w:val="0B2545"/>
                <w:sz w:val="16"/>
              </w:rPr>
              <w:t>Partially executed</w:t>
            </w:r>
          </w:p>
        </w:tc>
        <w:tc>
          <w:tcPr>
            <w:tcW w:type="dxa" w:w="3400"/>
            <w:vAlign w:val="center"/>
            <w:tcMar>
              <w:top w:w="70" w:type="dxa"/>
              <w:bottom w:w="70" w:type="dxa"/>
              <w:start w:w="100" w:type="dxa"/>
              <w:end w:w="100" w:type="dxa"/>
            </w:tcMar>
          </w:tcPr>
          <w:p>
            <w:pPr>
              <w:spacing w:after="0" w:line="247" w:lineRule="auto"/>
            </w:pPr>
            <w:r>
              <w:rPr>
                <w:rFonts w:ascii="Calibri" w:hAnsi="Calibri"/>
                <w:b w:val="0"/>
                <w:i w:val="0"/>
                <w:color w:val="0B2545"/>
                <w:sz w:val="16"/>
              </w:rPr>
              <w:t>At least one fill reconciled; remaining lines open/cancelled/waived.</w:t>
            </w:r>
          </w:p>
        </w:tc>
        <w:tc>
          <w:tcPr>
            <w:tcW w:type="dxa" w:w="4210"/>
            <w:vAlign w:val="center"/>
            <w:tcMar>
              <w:top w:w="70" w:type="dxa"/>
              <w:bottom w:w="70" w:type="dxa"/>
              <w:start w:w="100" w:type="dxa"/>
              <w:end w:w="100" w:type="dxa"/>
            </w:tcMar>
          </w:tcPr>
          <w:p>
            <w:pPr>
              <w:spacing w:after="0" w:line="247" w:lineRule="auto"/>
            </w:pPr>
            <w:r>
              <w:rPr>
                <w:rFonts w:ascii="Calibri" w:hAnsi="Calibri"/>
                <w:b w:val="0"/>
                <w:i w:val="0"/>
                <w:color w:val="0B2545"/>
                <w:sz w:val="16"/>
              </w:rPr>
              <w:t>Only reconciled transactions affect actuals.</w:t>
            </w:r>
          </w:p>
        </w:tc>
      </w:tr>
      <w:tr>
        <w:trPr>
          <w:cantSplit/>
        </w:trPr>
        <w:tc>
          <w:tcPr>
            <w:tcW w:type="dxa" w:w="1750"/>
            <w:vAlign w:val="center"/>
            <w:tcMar>
              <w:top w:w="70" w:type="dxa"/>
              <w:bottom w:w="70" w:type="dxa"/>
              <w:start w:w="100" w:type="dxa"/>
              <w:end w:w="100" w:type="dxa"/>
            </w:tcMar>
          </w:tcPr>
          <w:p>
            <w:pPr>
              <w:spacing w:after="0" w:line="247" w:lineRule="auto"/>
            </w:pPr>
            <w:r>
              <w:rPr>
                <w:rFonts w:ascii="Calibri" w:hAnsi="Calibri"/>
                <w:b w:val="0"/>
                <w:i w:val="0"/>
                <w:color w:val="0B2545"/>
                <w:sz w:val="16"/>
              </w:rPr>
              <w:t>Completed</w:t>
            </w:r>
          </w:p>
        </w:tc>
        <w:tc>
          <w:tcPr>
            <w:tcW w:type="dxa" w:w="3400"/>
            <w:vAlign w:val="center"/>
            <w:tcMar>
              <w:top w:w="70" w:type="dxa"/>
              <w:bottom w:w="70" w:type="dxa"/>
              <w:start w:w="100" w:type="dxa"/>
              <w:end w:w="100" w:type="dxa"/>
            </w:tcMar>
          </w:tcPr>
          <w:p>
            <w:pPr>
              <w:spacing w:after="0" w:line="247" w:lineRule="auto"/>
            </w:pPr>
            <w:r>
              <w:rPr>
                <w:rFonts w:ascii="Calibri" w:hAnsi="Calibri"/>
                <w:b w:val="0"/>
                <w:i w:val="0"/>
                <w:color w:val="0B2545"/>
                <w:sz w:val="16"/>
              </w:rPr>
              <w:t>Every approved line resolved and final reconciliation accepted.</w:t>
            </w:r>
          </w:p>
        </w:tc>
        <w:tc>
          <w:tcPr>
            <w:tcW w:type="dxa" w:w="4210"/>
            <w:vAlign w:val="center"/>
            <w:tcMar>
              <w:top w:w="70" w:type="dxa"/>
              <w:bottom w:w="70" w:type="dxa"/>
              <w:start w:w="100" w:type="dxa"/>
              <w:end w:w="100" w:type="dxa"/>
            </w:tcMar>
          </w:tcPr>
          <w:p>
            <w:pPr>
              <w:spacing w:after="0" w:line="247" w:lineRule="auto"/>
            </w:pPr>
            <w:r>
              <w:rPr>
                <w:rFonts w:ascii="Calibri" w:hAnsi="Calibri"/>
                <w:b w:val="0"/>
                <w:i w:val="0"/>
                <w:color w:val="0B2545"/>
                <w:sz w:val="16"/>
              </w:rPr>
              <w:t>Actual results and cumulative reporting final for the scenario.</w:t>
            </w:r>
          </w:p>
        </w:tc>
      </w:tr>
      <w:tr>
        <w:trPr>
          <w:cantSplit/>
        </w:trPr>
        <w:tc>
          <w:tcPr>
            <w:tcW w:type="dxa" w:w="1750"/>
            <w:vAlign w:val="center"/>
            <w:tcMar>
              <w:top w:w="70" w:type="dxa"/>
              <w:bottom w:w="70" w:type="dxa"/>
              <w:start w:w="100" w:type="dxa"/>
              <w:end w:w="100" w:type="dxa"/>
            </w:tcMar>
          </w:tcPr>
          <w:p>
            <w:pPr>
              <w:spacing w:after="0" w:line="247" w:lineRule="auto"/>
            </w:pPr>
            <w:r>
              <w:rPr>
                <w:rFonts w:ascii="Calibri" w:hAnsi="Calibri"/>
                <w:b w:val="0"/>
                <w:i w:val="0"/>
                <w:color w:val="0B2545"/>
                <w:sz w:val="16"/>
              </w:rPr>
              <w:t>Cancelled</w:t>
            </w:r>
          </w:p>
        </w:tc>
        <w:tc>
          <w:tcPr>
            <w:tcW w:type="dxa" w:w="3400"/>
            <w:vAlign w:val="center"/>
            <w:tcMar>
              <w:top w:w="70" w:type="dxa"/>
              <w:bottom w:w="70" w:type="dxa"/>
              <w:start w:w="100" w:type="dxa"/>
              <w:end w:w="100" w:type="dxa"/>
            </w:tcMar>
          </w:tcPr>
          <w:p>
            <w:pPr>
              <w:spacing w:after="0" w:line="247" w:lineRule="auto"/>
            </w:pPr>
            <w:r>
              <w:rPr>
                <w:rFonts w:ascii="Calibri" w:hAnsi="Calibri"/>
                <w:b w:val="0"/>
                <w:i w:val="0"/>
                <w:color w:val="0B2545"/>
                <w:sz w:val="16"/>
              </w:rPr>
              <w:t>Decision abandoned before completion.</w:t>
            </w:r>
          </w:p>
        </w:tc>
        <w:tc>
          <w:tcPr>
            <w:tcW w:type="dxa" w:w="4210"/>
            <w:vAlign w:val="center"/>
            <w:tcMar>
              <w:top w:w="70" w:type="dxa"/>
              <w:bottom w:w="70" w:type="dxa"/>
              <w:start w:w="100" w:type="dxa"/>
              <w:end w:w="100" w:type="dxa"/>
            </w:tcMar>
          </w:tcPr>
          <w:p>
            <w:pPr>
              <w:spacing w:after="0" w:line="247" w:lineRule="auto"/>
            </w:pPr>
            <w:r>
              <w:rPr>
                <w:rFonts w:ascii="Calibri" w:hAnsi="Calibri"/>
                <w:b w:val="0"/>
                <w:i w:val="0"/>
                <w:color w:val="0B2545"/>
                <w:sz w:val="16"/>
              </w:rPr>
              <w:t>Retained for history; no new actual effect.</w:t>
            </w:r>
          </w:p>
        </w:tc>
      </w:tr>
      <w:tr>
        <w:trPr>
          <w:cantSplit/>
        </w:trPr>
        <w:tc>
          <w:tcPr>
            <w:tcW w:type="dxa" w:w="1750"/>
            <w:vAlign w:val="center"/>
            <w:tcMar>
              <w:top w:w="70" w:type="dxa"/>
              <w:bottom w:w="70" w:type="dxa"/>
              <w:start w:w="100" w:type="dxa"/>
              <w:end w:w="100" w:type="dxa"/>
            </w:tcMar>
          </w:tcPr>
          <w:p>
            <w:pPr>
              <w:spacing w:after="0" w:line="247" w:lineRule="auto"/>
            </w:pPr>
            <w:r>
              <w:rPr>
                <w:rFonts w:ascii="Calibri" w:hAnsi="Calibri"/>
                <w:b w:val="0"/>
                <w:i w:val="0"/>
                <w:color w:val="0B2545"/>
                <w:sz w:val="16"/>
              </w:rPr>
              <w:t>Superseded</w:t>
            </w:r>
          </w:p>
        </w:tc>
        <w:tc>
          <w:tcPr>
            <w:tcW w:type="dxa" w:w="3400"/>
            <w:vAlign w:val="center"/>
            <w:tcMar>
              <w:top w:w="70" w:type="dxa"/>
              <w:bottom w:w="70" w:type="dxa"/>
              <w:start w:w="100" w:type="dxa"/>
              <w:end w:w="100" w:type="dxa"/>
            </w:tcMar>
          </w:tcPr>
          <w:p>
            <w:pPr>
              <w:spacing w:after="0" w:line="247" w:lineRule="auto"/>
            </w:pPr>
            <w:r>
              <w:rPr>
                <w:rFonts w:ascii="Calibri" w:hAnsi="Calibri"/>
                <w:b w:val="0"/>
                <w:i w:val="0"/>
                <w:color w:val="0B2545"/>
                <w:sz w:val="16"/>
              </w:rPr>
              <w:t>Replaced by a newer approved version.</w:t>
            </w:r>
          </w:p>
        </w:tc>
        <w:tc>
          <w:tcPr>
            <w:tcW w:type="dxa" w:w="4210"/>
            <w:vAlign w:val="center"/>
            <w:tcMar>
              <w:top w:w="70" w:type="dxa"/>
              <w:bottom w:w="70" w:type="dxa"/>
              <w:start w:w="100" w:type="dxa"/>
              <w:end w:w="100" w:type="dxa"/>
            </w:tcMar>
          </w:tcPr>
          <w:p>
            <w:pPr>
              <w:spacing w:after="0" w:line="247" w:lineRule="auto"/>
            </w:pPr>
            <w:r>
              <w:rPr>
                <w:rFonts w:ascii="Calibri" w:hAnsi="Calibri"/>
                <w:b w:val="0"/>
                <w:i w:val="0"/>
                <w:color w:val="0B2545"/>
                <w:sz w:val="16"/>
              </w:rPr>
              <w:t>Historical version remains immutable.</w:t>
            </w:r>
          </w:p>
        </w:tc>
      </w:tr>
    </w:tbl>
    <w:p>
      <w:pPr>
        <w:spacing w:after="20"/>
      </w:pPr>
    </w:p>
    <w:p>
      <w:pPr>
        <w:pStyle w:val="Heading1"/>
      </w:pPr>
      <w:r>
        <w:t>10. Target Data Model</w:t>
      </w:r>
    </w:p>
    <w:tbl>
      <w:tblPr>
        <w:tblStyle w:val="TableGrid"/>
        <w:tblW w:type="dxa" w:w="9360"/>
        <w:jc w:val="left"/>
        <w:tblLayout w:type="fixed"/>
        <w:tblLook w:firstColumn="1" w:firstRow="1" w:lastColumn="0" w:lastRow="0" w:noHBand="0" w:noVBand="1" w:val="04A0"/>
      </w:tblPr>
      <w:tblGrid>
        <w:gridCol w:w="2500"/>
        <w:gridCol w:w="6860"/>
      </w:tblGrid>
      <w:tr>
        <w:trPr>
          <w:tblHeader w:val="true"/>
          <w:cantSplit/>
        </w:trPr>
        <w:tc>
          <w:tcPr>
            <w:tcW w:type="dxa" w:w="2500"/>
            <w:shd w:fill="F2F4F7"/>
            <w:vAlign w:val="center"/>
            <w:tcMar>
              <w:top w:w="70" w:type="dxa"/>
              <w:bottom w:w="70" w:type="dxa"/>
              <w:start w:w="100" w:type="dxa"/>
              <w:end w:w="100" w:type="dxa"/>
            </w:tcMar>
          </w:tcPr>
          <w:p>
            <w:pPr>
              <w:spacing w:after="0"/>
            </w:pPr>
            <w:r>
              <w:rPr>
                <w:rFonts w:ascii="Calibri" w:hAnsi="Calibri"/>
                <w:b/>
                <w:i w:val="0"/>
                <w:color w:val="0B2545"/>
                <w:sz w:val="15"/>
              </w:rPr>
              <w:t>Entity</w:t>
            </w:r>
          </w:p>
        </w:tc>
        <w:tc>
          <w:tcPr>
            <w:tcW w:type="dxa" w:w="6860"/>
            <w:shd w:fill="F2F4F7"/>
            <w:vAlign w:val="center"/>
            <w:tcMar>
              <w:top w:w="70" w:type="dxa"/>
              <w:bottom w:w="70" w:type="dxa"/>
              <w:start w:w="100" w:type="dxa"/>
              <w:end w:w="100" w:type="dxa"/>
            </w:tcMar>
          </w:tcPr>
          <w:p>
            <w:pPr>
              <w:spacing w:after="0"/>
            </w:pPr>
            <w:r>
              <w:rPr>
                <w:rFonts w:ascii="Calibri" w:hAnsi="Calibri"/>
                <w:b/>
                <w:i w:val="0"/>
                <w:color w:val="0B2545"/>
                <w:sz w:val="15"/>
              </w:rPr>
              <w:t>Required fields</w:t>
            </w:r>
          </w:p>
        </w:tc>
      </w:tr>
      <w:tr>
        <w:trPr>
          <w:cantSplit/>
        </w:trPr>
        <w:tc>
          <w:tcPr>
            <w:tcW w:type="dxa" w:w="2500"/>
            <w:vAlign w:val="center"/>
            <w:tcMar>
              <w:top w:w="70" w:type="dxa"/>
              <w:bottom w:w="70" w:type="dxa"/>
              <w:start w:w="100" w:type="dxa"/>
              <w:end w:w="100" w:type="dxa"/>
            </w:tcMar>
          </w:tcPr>
          <w:p>
            <w:pPr>
              <w:spacing w:after="0" w:line="247" w:lineRule="auto"/>
            </w:pPr>
            <w:r>
              <w:rPr>
                <w:rFonts w:ascii="Calibri" w:hAnsi="Calibri"/>
                <w:b w:val="0"/>
                <w:i w:val="0"/>
                <w:color w:val="0B2545"/>
                <w:sz w:val="15"/>
              </w:rPr>
              <w:t>shopping_cart_scenario</w:t>
            </w:r>
          </w:p>
        </w:tc>
        <w:tc>
          <w:tcPr>
            <w:tcW w:type="dxa" w:w="6860"/>
            <w:vAlign w:val="center"/>
            <w:tcMar>
              <w:top w:w="70" w:type="dxa"/>
              <w:bottom w:w="70" w:type="dxa"/>
              <w:start w:w="100" w:type="dxa"/>
              <w:end w:w="100" w:type="dxa"/>
            </w:tcMar>
          </w:tcPr>
          <w:p>
            <w:pPr>
              <w:spacing w:after="0" w:line="247" w:lineRule="auto"/>
            </w:pPr>
            <w:r>
              <w:rPr>
                <w:rFonts w:ascii="Calibri" w:hAnsi="Calibri"/>
                <w:b w:val="0"/>
                <w:i w:val="0"/>
                <w:color w:val="0B2545"/>
                <w:sz w:val="15"/>
              </w:rPr>
              <w:t>scenario_id; scenario_type; account_id; purpose; funding_method; status; created_at; approved_at; executed_at; completed_at; notes; approved_version_id; owner_id</w:t>
            </w:r>
          </w:p>
        </w:tc>
      </w:tr>
      <w:tr>
        <w:trPr>
          <w:cantSplit/>
        </w:trPr>
        <w:tc>
          <w:tcPr>
            <w:tcW w:type="dxa" w:w="2500"/>
            <w:vAlign w:val="center"/>
            <w:tcMar>
              <w:top w:w="70" w:type="dxa"/>
              <w:bottom w:w="70" w:type="dxa"/>
              <w:start w:w="100" w:type="dxa"/>
              <w:end w:w="100" w:type="dxa"/>
            </w:tcMar>
          </w:tcPr>
          <w:p>
            <w:pPr>
              <w:spacing w:after="0" w:line="247" w:lineRule="auto"/>
            </w:pPr>
            <w:r>
              <w:rPr>
                <w:rFonts w:ascii="Calibri" w:hAnsi="Calibri"/>
                <w:b w:val="0"/>
                <w:i w:val="0"/>
                <w:color w:val="0B2545"/>
                <w:sz w:val="15"/>
              </w:rPr>
              <w:t>scenario_version</w:t>
            </w:r>
          </w:p>
        </w:tc>
        <w:tc>
          <w:tcPr>
            <w:tcW w:type="dxa" w:w="6860"/>
            <w:vAlign w:val="center"/>
            <w:tcMar>
              <w:top w:w="70" w:type="dxa"/>
              <w:bottom w:w="70" w:type="dxa"/>
              <w:start w:w="100" w:type="dxa"/>
              <w:end w:w="100" w:type="dxa"/>
            </w:tcMar>
          </w:tcPr>
          <w:p>
            <w:pPr>
              <w:spacing w:after="0" w:line="247" w:lineRule="auto"/>
            </w:pPr>
            <w:r>
              <w:rPr>
                <w:rFonts w:ascii="Calibri" w:hAnsi="Calibri"/>
                <w:b w:val="0"/>
                <w:i w:val="0"/>
                <w:color w:val="0B2545"/>
                <w:sz w:val="15"/>
              </w:rPr>
              <w:t>version_id; scenario_id; version_number; calculation_timestamp; price_snapshot_id; calculator_plan_version; allocation_target_version; classification_version; created_by; change_reason</w:t>
            </w:r>
          </w:p>
        </w:tc>
      </w:tr>
      <w:tr>
        <w:trPr>
          <w:cantSplit/>
        </w:trPr>
        <w:tc>
          <w:tcPr>
            <w:tcW w:type="dxa" w:w="2500"/>
            <w:vAlign w:val="center"/>
            <w:tcMar>
              <w:top w:w="70" w:type="dxa"/>
              <w:bottom w:w="70" w:type="dxa"/>
              <w:start w:w="100" w:type="dxa"/>
              <w:end w:w="100" w:type="dxa"/>
            </w:tcMar>
          </w:tcPr>
          <w:p>
            <w:pPr>
              <w:spacing w:after="0" w:line="247" w:lineRule="auto"/>
            </w:pPr>
            <w:r>
              <w:rPr>
                <w:rFonts w:ascii="Calibri" w:hAnsi="Calibri"/>
                <w:b w:val="0"/>
                <w:i w:val="0"/>
                <w:color w:val="0B2545"/>
                <w:sz w:val="15"/>
              </w:rPr>
              <w:t>scenario_funding</w:t>
            </w:r>
          </w:p>
        </w:tc>
        <w:tc>
          <w:tcPr>
            <w:tcW w:type="dxa" w:w="6860"/>
            <w:vAlign w:val="center"/>
            <w:tcMar>
              <w:top w:w="70" w:type="dxa"/>
              <w:bottom w:w="70" w:type="dxa"/>
              <w:start w:w="100" w:type="dxa"/>
              <w:end w:w="100" w:type="dxa"/>
            </w:tcMar>
          </w:tcPr>
          <w:p>
            <w:pPr>
              <w:spacing w:after="0" w:line="247" w:lineRule="auto"/>
            </w:pPr>
            <w:r>
              <w:rPr>
                <w:rFonts w:ascii="Calibri" w:hAnsi="Calibri"/>
                <w:b w:val="0"/>
                <w:i w:val="0"/>
                <w:color w:val="0B2545"/>
                <w:sz w:val="15"/>
              </w:rPr>
              <w:t>funding_id; scenario_version_id; funding_type; cash_amount; expected_sale_proceeds; included_in_available_funds</w:t>
            </w:r>
          </w:p>
        </w:tc>
      </w:tr>
      <w:tr>
        <w:trPr>
          <w:cantSplit/>
        </w:trPr>
        <w:tc>
          <w:tcPr>
            <w:tcW w:type="dxa" w:w="2500"/>
            <w:vAlign w:val="center"/>
            <w:tcMar>
              <w:top w:w="70" w:type="dxa"/>
              <w:bottom w:w="70" w:type="dxa"/>
              <w:start w:w="100" w:type="dxa"/>
              <w:end w:w="100" w:type="dxa"/>
            </w:tcMar>
          </w:tcPr>
          <w:p>
            <w:pPr>
              <w:spacing w:after="0" w:line="247" w:lineRule="auto"/>
            </w:pPr>
            <w:r>
              <w:rPr>
                <w:rFonts w:ascii="Calibri" w:hAnsi="Calibri"/>
                <w:b w:val="0"/>
                <w:i w:val="0"/>
                <w:color w:val="0B2545"/>
                <w:sz w:val="15"/>
              </w:rPr>
              <w:t>scenario_sale_lot</w:t>
            </w:r>
          </w:p>
        </w:tc>
        <w:tc>
          <w:tcPr>
            <w:tcW w:type="dxa" w:w="6860"/>
            <w:vAlign w:val="center"/>
            <w:tcMar>
              <w:top w:w="70" w:type="dxa"/>
              <w:bottom w:w="70" w:type="dxa"/>
              <w:start w:w="100" w:type="dxa"/>
              <w:end w:w="100" w:type="dxa"/>
            </w:tcMar>
          </w:tcPr>
          <w:p>
            <w:pPr>
              <w:spacing w:after="0" w:line="247" w:lineRule="auto"/>
            </w:pPr>
            <w:r>
              <w:rPr>
                <w:rFonts w:ascii="Calibri" w:hAnsi="Calibri"/>
                <w:b w:val="0"/>
                <w:i w:val="0"/>
                <w:color w:val="0B2545"/>
                <w:sz w:val="15"/>
              </w:rPr>
              <w:t>sale_line_id; scenario_version_id; lot_id; security_id; account_id; acquisition_date; quantity; actual_unit_cost; performance_cost_basis; scenario_sale_price; expected_proceeds; planned_income_surrendered; tranche_id</w:t>
            </w:r>
          </w:p>
        </w:tc>
      </w:tr>
      <w:tr>
        <w:trPr>
          <w:cantSplit/>
        </w:trPr>
        <w:tc>
          <w:tcPr>
            <w:tcW w:type="dxa" w:w="2500"/>
            <w:vAlign w:val="center"/>
            <w:tcMar>
              <w:top w:w="70" w:type="dxa"/>
              <w:bottom w:w="70" w:type="dxa"/>
              <w:start w:w="100" w:type="dxa"/>
              <w:end w:w="100" w:type="dxa"/>
            </w:tcMar>
          </w:tcPr>
          <w:p>
            <w:pPr>
              <w:spacing w:after="0" w:line="247" w:lineRule="auto"/>
            </w:pPr>
            <w:r>
              <w:rPr>
                <w:rFonts w:ascii="Calibri" w:hAnsi="Calibri"/>
                <w:b w:val="0"/>
                <w:i w:val="0"/>
                <w:color w:val="0B2545"/>
                <w:sz w:val="15"/>
              </w:rPr>
              <w:t>scenario_purchase_line</w:t>
            </w:r>
          </w:p>
        </w:tc>
        <w:tc>
          <w:tcPr>
            <w:tcW w:type="dxa" w:w="6860"/>
            <w:vAlign w:val="center"/>
            <w:tcMar>
              <w:top w:w="70" w:type="dxa"/>
              <w:bottom w:w="70" w:type="dxa"/>
              <w:start w:w="100" w:type="dxa"/>
              <w:end w:w="100" w:type="dxa"/>
            </w:tcMar>
          </w:tcPr>
          <w:p>
            <w:pPr>
              <w:spacing w:after="0" w:line="247" w:lineRule="auto"/>
            </w:pPr>
            <w:r>
              <w:rPr>
                <w:rFonts w:ascii="Calibri" w:hAnsi="Calibri"/>
                <w:b w:val="0"/>
                <w:i w:val="0"/>
                <w:color w:val="0B2545"/>
                <w:sz w:val="15"/>
              </w:rPr>
              <w:t>purchase_line_id; scenario_version_id; security_id; quantity; scenario_price; estimated_fees; purchase_cash; planned_annual_dividend_per_share; annual_income; tier_id; purpose; included; tranche_id</w:t>
            </w:r>
          </w:p>
        </w:tc>
      </w:tr>
      <w:tr>
        <w:trPr>
          <w:cantSplit/>
        </w:trPr>
        <w:tc>
          <w:tcPr>
            <w:tcW w:type="dxa" w:w="2500"/>
            <w:vAlign w:val="center"/>
            <w:tcMar>
              <w:top w:w="70" w:type="dxa"/>
              <w:bottom w:w="70" w:type="dxa"/>
              <w:start w:w="100" w:type="dxa"/>
              <w:end w:w="100" w:type="dxa"/>
            </w:tcMar>
          </w:tcPr>
          <w:p>
            <w:pPr>
              <w:spacing w:after="0" w:line="247" w:lineRule="auto"/>
            </w:pPr>
            <w:r>
              <w:rPr>
                <w:rFonts w:ascii="Calibri" w:hAnsi="Calibri"/>
                <w:b w:val="0"/>
                <w:i w:val="0"/>
                <w:color w:val="0B2545"/>
                <w:sz w:val="15"/>
              </w:rPr>
              <w:t>execution_tranche</w:t>
            </w:r>
          </w:p>
        </w:tc>
        <w:tc>
          <w:tcPr>
            <w:tcW w:type="dxa" w:w="6860"/>
            <w:vAlign w:val="center"/>
            <w:tcMar>
              <w:top w:w="70" w:type="dxa"/>
              <w:bottom w:w="70" w:type="dxa"/>
              <w:start w:w="100" w:type="dxa"/>
              <w:end w:w="100" w:type="dxa"/>
            </w:tcMar>
          </w:tcPr>
          <w:p>
            <w:pPr>
              <w:spacing w:after="0" w:line="247" w:lineRule="auto"/>
            </w:pPr>
            <w:r>
              <w:rPr>
                <w:rFonts w:ascii="Calibri" w:hAnsi="Calibri"/>
                <w:b w:val="0"/>
                <w:i w:val="0"/>
                <w:color w:val="0B2545"/>
                <w:sz w:val="15"/>
              </w:rPr>
              <w:t>tranche_id; scenario_id; tranche_code; planned_sequence; planned_date; status; notes</w:t>
            </w:r>
          </w:p>
        </w:tc>
      </w:tr>
      <w:tr>
        <w:trPr>
          <w:cantSplit/>
        </w:trPr>
        <w:tc>
          <w:tcPr>
            <w:tcW w:type="dxa" w:w="2500"/>
            <w:vAlign w:val="center"/>
            <w:tcMar>
              <w:top w:w="70" w:type="dxa"/>
              <w:bottom w:w="70" w:type="dxa"/>
              <w:start w:w="100" w:type="dxa"/>
              <w:end w:w="100" w:type="dxa"/>
            </w:tcMar>
          </w:tcPr>
          <w:p>
            <w:pPr>
              <w:spacing w:after="0" w:line="247" w:lineRule="auto"/>
            </w:pPr>
            <w:r>
              <w:rPr>
                <w:rFonts w:ascii="Calibri" w:hAnsi="Calibri"/>
                <w:b w:val="0"/>
                <w:i w:val="0"/>
                <w:color w:val="0B2545"/>
                <w:sz w:val="15"/>
              </w:rPr>
              <w:t>transaction_match</w:t>
            </w:r>
          </w:p>
        </w:tc>
        <w:tc>
          <w:tcPr>
            <w:tcW w:type="dxa" w:w="6860"/>
            <w:vAlign w:val="center"/>
            <w:tcMar>
              <w:top w:w="70" w:type="dxa"/>
              <w:bottom w:w="70" w:type="dxa"/>
              <w:start w:w="100" w:type="dxa"/>
              <w:end w:w="100" w:type="dxa"/>
            </w:tcMar>
          </w:tcPr>
          <w:p>
            <w:pPr>
              <w:spacing w:after="0" w:line="247" w:lineRule="auto"/>
            </w:pPr>
            <w:r>
              <w:rPr>
                <w:rFonts w:ascii="Calibri" w:hAnsi="Calibri"/>
                <w:b w:val="0"/>
                <w:i w:val="0"/>
                <w:color w:val="0B2545"/>
                <w:sz w:val="15"/>
              </w:rPr>
              <w:t>match_id; scenario_line_id; investment_activity_event_id; matched_quantity; match_status; confidence; owner_approved_at; exception_reason</w:t>
            </w:r>
          </w:p>
        </w:tc>
      </w:tr>
      <w:tr>
        <w:trPr>
          <w:cantSplit/>
        </w:trPr>
        <w:tc>
          <w:tcPr>
            <w:tcW w:type="dxa" w:w="2500"/>
            <w:vAlign w:val="center"/>
            <w:tcMar>
              <w:top w:w="70" w:type="dxa"/>
              <w:bottom w:w="70" w:type="dxa"/>
              <w:start w:w="100" w:type="dxa"/>
              <w:end w:w="100" w:type="dxa"/>
            </w:tcMar>
          </w:tcPr>
          <w:p>
            <w:pPr>
              <w:spacing w:after="0" w:line="247" w:lineRule="auto"/>
            </w:pPr>
            <w:r>
              <w:rPr>
                <w:rFonts w:ascii="Calibri" w:hAnsi="Calibri"/>
                <w:b w:val="0"/>
                <w:i w:val="0"/>
                <w:color w:val="0B2545"/>
                <w:sz w:val="15"/>
              </w:rPr>
              <w:t>allocation_snapshot</w:t>
            </w:r>
          </w:p>
        </w:tc>
        <w:tc>
          <w:tcPr>
            <w:tcW w:type="dxa" w:w="6860"/>
            <w:vAlign w:val="center"/>
            <w:tcMar>
              <w:top w:w="70" w:type="dxa"/>
              <w:bottom w:w="70" w:type="dxa"/>
              <w:start w:w="100" w:type="dxa"/>
              <w:end w:w="100" w:type="dxa"/>
            </w:tcMar>
          </w:tcPr>
          <w:p>
            <w:pPr>
              <w:spacing w:after="0" w:line="247" w:lineRule="auto"/>
            </w:pPr>
            <w:r>
              <w:rPr>
                <w:rFonts w:ascii="Calibri" w:hAnsi="Calibri"/>
                <w:b w:val="0"/>
                <w:i w:val="0"/>
                <w:color w:val="0B2545"/>
                <w:sz w:val="15"/>
              </w:rPr>
              <w:t>snapshot_id; scenario_version_id; scope_type; account_id; tier_id; target_pct; before_value; after_value; before_pct; after_pct; gap_before; gap_after; progress_points</w:t>
            </w:r>
          </w:p>
        </w:tc>
      </w:tr>
      <w:tr>
        <w:trPr>
          <w:cantSplit/>
        </w:trPr>
        <w:tc>
          <w:tcPr>
            <w:tcW w:type="dxa" w:w="2500"/>
            <w:vAlign w:val="center"/>
            <w:tcMar>
              <w:top w:w="70" w:type="dxa"/>
              <w:bottom w:w="70" w:type="dxa"/>
              <w:start w:w="100" w:type="dxa"/>
              <w:end w:w="100" w:type="dxa"/>
            </w:tcMar>
          </w:tcPr>
          <w:p>
            <w:pPr>
              <w:spacing w:after="0" w:line="247" w:lineRule="auto"/>
            </w:pPr>
            <w:r>
              <w:rPr>
                <w:rFonts w:ascii="Calibri" w:hAnsi="Calibri"/>
                <w:b w:val="0"/>
                <w:i w:val="0"/>
                <w:color w:val="0B2545"/>
                <w:sz w:val="15"/>
              </w:rPr>
              <w:t>scenario_warning</w:t>
            </w:r>
          </w:p>
        </w:tc>
        <w:tc>
          <w:tcPr>
            <w:tcW w:type="dxa" w:w="6860"/>
            <w:vAlign w:val="center"/>
            <w:tcMar>
              <w:top w:w="70" w:type="dxa"/>
              <w:bottom w:w="70" w:type="dxa"/>
              <w:start w:w="100" w:type="dxa"/>
              <w:end w:w="100" w:type="dxa"/>
            </w:tcMar>
          </w:tcPr>
          <w:p>
            <w:pPr>
              <w:spacing w:after="0" w:line="247" w:lineRule="auto"/>
            </w:pPr>
            <w:r>
              <w:rPr>
                <w:rFonts w:ascii="Calibri" w:hAnsi="Calibri"/>
                <w:b w:val="0"/>
                <w:i w:val="0"/>
                <w:color w:val="0B2545"/>
                <w:sz w:val="15"/>
              </w:rPr>
              <w:t>warning_id; scenario_version_id; rule_code; severity; message; supporting_values; acknowledged_by; acknowledged_at; override_reason</w:t>
            </w:r>
          </w:p>
        </w:tc>
      </w:tr>
      <w:tr>
        <w:trPr>
          <w:cantSplit/>
        </w:trPr>
        <w:tc>
          <w:tcPr>
            <w:tcW w:type="dxa" w:w="2500"/>
            <w:vAlign w:val="center"/>
            <w:tcMar>
              <w:top w:w="70" w:type="dxa"/>
              <w:bottom w:w="70" w:type="dxa"/>
              <w:start w:w="100" w:type="dxa"/>
              <w:end w:w="100" w:type="dxa"/>
            </w:tcMar>
          </w:tcPr>
          <w:p>
            <w:pPr>
              <w:spacing w:after="0" w:line="247" w:lineRule="auto"/>
            </w:pPr>
            <w:r>
              <w:rPr>
                <w:rFonts w:ascii="Calibri" w:hAnsi="Calibri"/>
                <w:b w:val="0"/>
                <w:i w:val="0"/>
                <w:color w:val="0B2545"/>
                <w:sz w:val="15"/>
              </w:rPr>
              <w:t>scenario_metric</w:t>
            </w:r>
          </w:p>
        </w:tc>
        <w:tc>
          <w:tcPr>
            <w:tcW w:type="dxa" w:w="6860"/>
            <w:vAlign w:val="center"/>
            <w:tcMar>
              <w:top w:w="70" w:type="dxa"/>
              <w:bottom w:w="70" w:type="dxa"/>
              <w:start w:w="100" w:type="dxa"/>
              <w:end w:w="100" w:type="dxa"/>
            </w:tcMar>
          </w:tcPr>
          <w:p>
            <w:pPr>
              <w:spacing w:after="0" w:line="247" w:lineRule="auto"/>
            </w:pPr>
            <w:r>
              <w:rPr>
                <w:rFonts w:ascii="Calibri" w:hAnsi="Calibri"/>
                <w:b w:val="0"/>
                <w:i w:val="0"/>
                <w:color w:val="0B2545"/>
                <w:sz w:val="15"/>
              </w:rPr>
              <w:t>scenario_version_id; metric_code; amount; denominator; unit; calculation_version; provenance</w:t>
            </w:r>
          </w:p>
        </w:tc>
      </w:tr>
      <w:tr>
        <w:trPr>
          <w:cantSplit/>
        </w:trPr>
        <w:tc>
          <w:tcPr>
            <w:tcW w:type="dxa" w:w="2500"/>
            <w:vAlign w:val="center"/>
            <w:tcMar>
              <w:top w:w="70" w:type="dxa"/>
              <w:bottom w:w="70" w:type="dxa"/>
              <w:start w:w="100" w:type="dxa"/>
              <w:end w:w="100" w:type="dxa"/>
            </w:tcMar>
          </w:tcPr>
          <w:p>
            <w:pPr>
              <w:spacing w:after="0" w:line="247" w:lineRule="auto"/>
            </w:pPr>
            <w:r>
              <w:rPr>
                <w:rFonts w:ascii="Calibri" w:hAnsi="Calibri"/>
                <w:b w:val="0"/>
                <w:i w:val="0"/>
                <w:color w:val="0B2545"/>
                <w:sz w:val="15"/>
              </w:rPr>
              <w:t>price_snapshot</w:t>
            </w:r>
          </w:p>
        </w:tc>
        <w:tc>
          <w:tcPr>
            <w:tcW w:type="dxa" w:w="6860"/>
            <w:vAlign w:val="center"/>
            <w:tcMar>
              <w:top w:w="70" w:type="dxa"/>
              <w:bottom w:w="70" w:type="dxa"/>
              <w:start w:w="100" w:type="dxa"/>
              <w:end w:w="100" w:type="dxa"/>
            </w:tcMar>
          </w:tcPr>
          <w:p>
            <w:pPr>
              <w:spacing w:after="0" w:line="247" w:lineRule="auto"/>
            </w:pPr>
            <w:r>
              <w:rPr>
                <w:rFonts w:ascii="Calibri" w:hAnsi="Calibri"/>
                <w:b w:val="0"/>
                <w:i w:val="0"/>
                <w:color w:val="0B2545"/>
                <w:sz w:val="15"/>
              </w:rPr>
              <w:t>snapshot_id; security_id; price; as_of_timestamp; source; freshness_status</w:t>
            </w:r>
          </w:p>
        </w:tc>
      </w:tr>
      <w:tr>
        <w:trPr>
          <w:cantSplit/>
        </w:trPr>
        <w:tc>
          <w:tcPr>
            <w:tcW w:type="dxa" w:w="2500"/>
            <w:vAlign w:val="center"/>
            <w:tcMar>
              <w:top w:w="70" w:type="dxa"/>
              <w:bottom w:w="70" w:type="dxa"/>
              <w:start w:w="100" w:type="dxa"/>
              <w:end w:w="100" w:type="dxa"/>
            </w:tcMar>
          </w:tcPr>
          <w:p>
            <w:pPr>
              <w:spacing w:after="0" w:line="247" w:lineRule="auto"/>
            </w:pPr>
            <w:r>
              <w:rPr>
                <w:rFonts w:ascii="Calibri" w:hAnsi="Calibri"/>
                <w:b w:val="0"/>
                <w:i w:val="0"/>
                <w:color w:val="0B2545"/>
                <w:sz w:val="15"/>
              </w:rPr>
              <w:t>security_identity</w:t>
            </w:r>
          </w:p>
        </w:tc>
        <w:tc>
          <w:tcPr>
            <w:tcW w:type="dxa" w:w="6860"/>
            <w:vAlign w:val="center"/>
            <w:tcMar>
              <w:top w:w="70" w:type="dxa"/>
              <w:bottom w:w="70" w:type="dxa"/>
              <w:start w:w="100" w:type="dxa"/>
              <w:end w:w="100" w:type="dxa"/>
            </w:tcMar>
          </w:tcPr>
          <w:p>
            <w:pPr>
              <w:spacing w:after="0" w:line="247" w:lineRule="auto"/>
            </w:pPr>
            <w:r>
              <w:rPr>
                <w:rFonts w:ascii="Calibri" w:hAnsi="Calibri"/>
                <w:b w:val="0"/>
                <w:i w:val="0"/>
                <w:color w:val="0B2545"/>
                <w:sz w:val="15"/>
              </w:rPr>
              <w:t>security_id; current_symbol; historical_symbol; effective dates; confirmed status; alias history</w:t>
            </w:r>
          </w:p>
        </w:tc>
      </w:tr>
      <w:tr>
        <w:trPr>
          <w:cantSplit/>
        </w:trPr>
        <w:tc>
          <w:tcPr>
            <w:tcW w:type="dxa" w:w="2500"/>
            <w:vAlign w:val="center"/>
            <w:tcMar>
              <w:top w:w="70" w:type="dxa"/>
              <w:bottom w:w="70" w:type="dxa"/>
              <w:start w:w="100" w:type="dxa"/>
              <w:end w:w="100" w:type="dxa"/>
            </w:tcMar>
          </w:tcPr>
          <w:p>
            <w:pPr>
              <w:spacing w:after="0" w:line="247" w:lineRule="auto"/>
            </w:pPr>
            <w:r>
              <w:rPr>
                <w:rFonts w:ascii="Calibri" w:hAnsi="Calibri"/>
                <w:b w:val="0"/>
                <w:i w:val="0"/>
                <w:color w:val="0B2545"/>
                <w:sz w:val="15"/>
              </w:rPr>
              <w:t>audit_event</w:t>
            </w:r>
          </w:p>
        </w:tc>
        <w:tc>
          <w:tcPr>
            <w:tcW w:type="dxa" w:w="6860"/>
            <w:vAlign w:val="center"/>
            <w:tcMar>
              <w:top w:w="70" w:type="dxa"/>
              <w:bottom w:w="70" w:type="dxa"/>
              <w:start w:w="100" w:type="dxa"/>
              <w:end w:w="100" w:type="dxa"/>
            </w:tcMar>
          </w:tcPr>
          <w:p>
            <w:pPr>
              <w:spacing w:after="0" w:line="247" w:lineRule="auto"/>
            </w:pPr>
            <w:r>
              <w:rPr>
                <w:rFonts w:ascii="Calibri" w:hAnsi="Calibri"/>
                <w:b w:val="0"/>
                <w:i w:val="0"/>
                <w:color w:val="0B2545"/>
                <w:sz w:val="15"/>
              </w:rPr>
              <w:t>event_id; entity_type; entity_id; action; actor; timestamp; before/after summary; automated flag; source</w:t>
            </w:r>
          </w:p>
        </w:tc>
      </w:tr>
    </w:tbl>
    <w:p>
      <w:pPr>
        <w:spacing w:after="20"/>
      </w:pPr>
    </w:p>
    <w:p>
      <w:pPr>
        <w:pStyle w:val="Heading1"/>
      </w:pPr>
      <w:r>
        <w:t>11. Required Source Fields</w:t>
      </w:r>
    </w:p>
    <w:tbl>
      <w:tblPr>
        <w:tblStyle w:val="TableGrid"/>
        <w:tblW w:type="dxa" w:w="9360"/>
        <w:jc w:val="left"/>
        <w:tblLayout w:type="fixed"/>
        <w:tblLook w:firstColumn="1" w:firstRow="1" w:lastColumn="0" w:lastRow="0" w:noHBand="0" w:noVBand="1" w:val="04A0"/>
      </w:tblPr>
      <w:tblGrid>
        <w:gridCol w:w="2150"/>
        <w:gridCol w:w="4350"/>
        <w:gridCol w:w="2860"/>
      </w:tblGrid>
      <w:tr>
        <w:trPr>
          <w:tblHeader w:val="true"/>
          <w:cantSplit/>
        </w:trPr>
        <w:tc>
          <w:tcPr>
            <w:tcW w:type="dxa" w:w="2150"/>
            <w:shd w:fill="F2F4F7"/>
            <w:vAlign w:val="center"/>
            <w:tcMar>
              <w:top w:w="70" w:type="dxa"/>
              <w:bottom w:w="70" w:type="dxa"/>
              <w:start w:w="100" w:type="dxa"/>
              <w:end w:w="100" w:type="dxa"/>
            </w:tcMar>
          </w:tcPr>
          <w:p>
            <w:pPr>
              <w:spacing w:after="0"/>
            </w:pPr>
            <w:r>
              <w:rPr>
                <w:rFonts w:ascii="Calibri" w:hAnsi="Calibri"/>
                <w:b/>
                <w:i w:val="0"/>
                <w:color w:val="0B2545"/>
                <w:sz w:val="16"/>
              </w:rPr>
              <w:t>Source</w:t>
            </w:r>
          </w:p>
        </w:tc>
        <w:tc>
          <w:tcPr>
            <w:tcW w:type="dxa" w:w="4350"/>
            <w:shd w:fill="F2F4F7"/>
            <w:vAlign w:val="center"/>
            <w:tcMar>
              <w:top w:w="70" w:type="dxa"/>
              <w:bottom w:w="70" w:type="dxa"/>
              <w:start w:w="100" w:type="dxa"/>
              <w:end w:w="100" w:type="dxa"/>
            </w:tcMar>
          </w:tcPr>
          <w:p>
            <w:pPr>
              <w:spacing w:after="0"/>
            </w:pPr>
            <w:r>
              <w:rPr>
                <w:rFonts w:ascii="Calibri" w:hAnsi="Calibri"/>
                <w:b/>
                <w:i w:val="0"/>
                <w:color w:val="0B2545"/>
                <w:sz w:val="16"/>
              </w:rPr>
              <w:t>Consumed data</w:t>
            </w:r>
          </w:p>
        </w:tc>
        <w:tc>
          <w:tcPr>
            <w:tcW w:type="dxa" w:w="2860"/>
            <w:shd w:fill="F2F4F7"/>
            <w:vAlign w:val="center"/>
            <w:tcMar>
              <w:top w:w="70" w:type="dxa"/>
              <w:bottom w:w="70" w:type="dxa"/>
              <w:start w:w="100" w:type="dxa"/>
              <w:end w:w="100" w:type="dxa"/>
            </w:tcMar>
          </w:tcPr>
          <w:p>
            <w:pPr>
              <w:spacing w:after="0"/>
            </w:pPr>
            <w:r>
              <w:rPr>
                <w:rFonts w:ascii="Calibri" w:hAnsi="Calibri"/>
                <w:b/>
                <w:i w:val="0"/>
                <w:color w:val="0B2545"/>
                <w:sz w:val="16"/>
              </w:rPr>
              <w:t>Rule</w:t>
            </w:r>
          </w:p>
        </w:tc>
      </w:tr>
      <w:tr>
        <w:trPr>
          <w:cantSplit/>
        </w:trPr>
        <w:tc>
          <w:tcPr>
            <w:tcW w:type="dxa" w:w="2150"/>
            <w:vAlign w:val="center"/>
            <w:tcMar>
              <w:top w:w="70" w:type="dxa"/>
              <w:bottom w:w="70" w:type="dxa"/>
              <w:start w:w="100" w:type="dxa"/>
              <w:end w:w="100" w:type="dxa"/>
            </w:tcMar>
          </w:tcPr>
          <w:p>
            <w:pPr>
              <w:spacing w:after="0" w:line="247" w:lineRule="auto"/>
            </w:pPr>
            <w:r>
              <w:rPr>
                <w:rFonts w:ascii="Calibri" w:hAnsi="Calibri"/>
                <w:b w:val="0"/>
                <w:i w:val="0"/>
                <w:color w:val="0B2545"/>
                <w:sz w:val="16"/>
              </w:rPr>
              <w:t>Holdings / lots</w:t>
            </w:r>
          </w:p>
        </w:tc>
        <w:tc>
          <w:tcPr>
            <w:tcW w:type="dxa" w:w="4350"/>
            <w:vAlign w:val="center"/>
            <w:tcMar>
              <w:top w:w="70" w:type="dxa"/>
              <w:bottom w:w="70" w:type="dxa"/>
              <w:start w:w="100" w:type="dxa"/>
              <w:end w:w="100" w:type="dxa"/>
            </w:tcMar>
          </w:tcPr>
          <w:p>
            <w:pPr>
              <w:spacing w:after="0" w:line="247" w:lineRule="auto"/>
            </w:pPr>
            <w:r>
              <w:rPr>
                <w:rFonts w:ascii="Calibri" w:hAnsi="Calibri"/>
                <w:b w:val="0"/>
                <w:i w:val="0"/>
                <w:color w:val="0B2545"/>
                <w:sz w:val="16"/>
              </w:rPr>
              <w:t>Account, lot ID, canonical security, purchase date, quantity, actual price paid, fees, open quantity.</w:t>
            </w:r>
          </w:p>
        </w:tc>
        <w:tc>
          <w:tcPr>
            <w:tcW w:type="dxa" w:w="2860"/>
            <w:vAlign w:val="center"/>
            <w:tcMar>
              <w:top w:w="70" w:type="dxa"/>
              <w:bottom w:w="70" w:type="dxa"/>
              <w:start w:w="100" w:type="dxa"/>
              <w:end w:w="100" w:type="dxa"/>
            </w:tcMar>
          </w:tcPr>
          <w:p>
            <w:pPr>
              <w:spacing w:after="0" w:line="247" w:lineRule="auto"/>
            </w:pPr>
            <w:r>
              <w:rPr>
                <w:rFonts w:ascii="Calibri" w:hAnsi="Calibri"/>
                <w:b w:val="0"/>
                <w:i w:val="0"/>
                <w:color w:val="0B2545"/>
                <w:sz w:val="16"/>
              </w:rPr>
              <w:t>One row/event must remain traceable to the source lot.</w:t>
            </w:r>
          </w:p>
        </w:tc>
      </w:tr>
      <w:tr>
        <w:trPr>
          <w:cantSplit/>
        </w:trPr>
        <w:tc>
          <w:tcPr>
            <w:tcW w:type="dxa" w:w="2150"/>
            <w:vAlign w:val="center"/>
            <w:tcMar>
              <w:top w:w="70" w:type="dxa"/>
              <w:bottom w:w="70" w:type="dxa"/>
              <w:start w:w="100" w:type="dxa"/>
              <w:end w:w="100" w:type="dxa"/>
            </w:tcMar>
          </w:tcPr>
          <w:p>
            <w:pPr>
              <w:spacing w:after="0" w:line="247" w:lineRule="auto"/>
            </w:pPr>
            <w:r>
              <w:rPr>
                <w:rFonts w:ascii="Calibri" w:hAnsi="Calibri"/>
                <w:b w:val="0"/>
                <w:i w:val="0"/>
                <w:color w:val="0B2545"/>
                <w:sz w:val="16"/>
              </w:rPr>
              <w:t>Last Price</w:t>
            </w:r>
          </w:p>
        </w:tc>
        <w:tc>
          <w:tcPr>
            <w:tcW w:type="dxa" w:w="4350"/>
            <w:vAlign w:val="center"/>
            <w:tcMar>
              <w:top w:w="70" w:type="dxa"/>
              <w:bottom w:w="70" w:type="dxa"/>
              <w:start w:w="100" w:type="dxa"/>
              <w:end w:w="100" w:type="dxa"/>
            </w:tcMar>
          </w:tcPr>
          <w:p>
            <w:pPr>
              <w:spacing w:after="0" w:line="247" w:lineRule="auto"/>
            </w:pPr>
            <w:r>
              <w:rPr>
                <w:rFonts w:ascii="Calibri" w:hAnsi="Calibri"/>
                <w:b w:val="0"/>
                <w:i w:val="0"/>
                <w:color w:val="0B2545"/>
                <w:sz w:val="16"/>
              </w:rPr>
              <w:t>Price, source and timestamp.</w:t>
            </w:r>
          </w:p>
        </w:tc>
        <w:tc>
          <w:tcPr>
            <w:tcW w:type="dxa" w:w="2860"/>
            <w:vAlign w:val="center"/>
            <w:tcMar>
              <w:top w:w="70" w:type="dxa"/>
              <w:bottom w:w="70" w:type="dxa"/>
              <w:start w:w="100" w:type="dxa"/>
              <w:end w:w="100" w:type="dxa"/>
            </w:tcMar>
          </w:tcPr>
          <w:p>
            <w:pPr>
              <w:spacing w:after="0" w:line="247" w:lineRule="auto"/>
            </w:pPr>
            <w:r>
              <w:rPr>
                <w:rFonts w:ascii="Calibri" w:hAnsi="Calibri"/>
                <w:b w:val="0"/>
                <w:i w:val="0"/>
                <w:color w:val="0B2545"/>
                <w:sz w:val="16"/>
              </w:rPr>
              <w:t>Scenario preserves the exact price snapshot used; stale/unavailable status is visible.</w:t>
            </w:r>
          </w:p>
        </w:tc>
      </w:tr>
      <w:tr>
        <w:trPr>
          <w:cantSplit/>
        </w:trPr>
        <w:tc>
          <w:tcPr>
            <w:tcW w:type="dxa" w:w="2150"/>
            <w:vAlign w:val="center"/>
            <w:tcMar>
              <w:top w:w="70" w:type="dxa"/>
              <w:bottom w:w="70" w:type="dxa"/>
              <w:start w:w="100" w:type="dxa"/>
              <w:end w:w="100" w:type="dxa"/>
            </w:tcMar>
          </w:tcPr>
          <w:p>
            <w:pPr>
              <w:spacing w:after="0" w:line="247" w:lineRule="auto"/>
            </w:pPr>
            <w:r>
              <w:rPr>
                <w:rFonts w:ascii="Calibri" w:hAnsi="Calibri"/>
                <w:b w:val="0"/>
                <w:i w:val="0"/>
                <w:color w:val="0B2545"/>
                <w:sz w:val="16"/>
              </w:rPr>
              <w:t>Calculator</w:t>
            </w:r>
          </w:p>
        </w:tc>
        <w:tc>
          <w:tcPr>
            <w:tcW w:type="dxa" w:w="4350"/>
            <w:vAlign w:val="center"/>
            <w:tcMar>
              <w:top w:w="70" w:type="dxa"/>
              <w:bottom w:w="70" w:type="dxa"/>
              <w:start w:w="100" w:type="dxa"/>
              <w:end w:w="100" w:type="dxa"/>
            </w:tcMar>
          </w:tcPr>
          <w:p>
            <w:pPr>
              <w:spacing w:after="0" w:line="247" w:lineRule="auto"/>
            </w:pPr>
            <w:r>
              <w:rPr>
                <w:rFonts w:ascii="Calibri" w:hAnsi="Calibri"/>
                <w:b w:val="0"/>
                <w:i w:val="0"/>
                <w:color w:val="0B2545"/>
                <w:sz w:val="16"/>
              </w:rPr>
              <w:t>Approved planned annual dividend per share, periods, confidence, effective version.</w:t>
            </w:r>
          </w:p>
        </w:tc>
        <w:tc>
          <w:tcPr>
            <w:tcW w:type="dxa" w:w="2860"/>
            <w:vAlign w:val="center"/>
            <w:tcMar>
              <w:top w:w="70" w:type="dxa"/>
              <w:bottom w:w="70" w:type="dxa"/>
              <w:start w:w="100" w:type="dxa"/>
              <w:end w:w="100" w:type="dxa"/>
            </w:tcMar>
          </w:tcPr>
          <w:p>
            <w:pPr>
              <w:spacing w:after="0" w:line="247" w:lineRule="auto"/>
            </w:pPr>
            <w:r>
              <w:rPr>
                <w:rFonts w:ascii="Calibri" w:hAnsi="Calibri"/>
                <w:b w:val="0"/>
                <w:i w:val="0"/>
                <w:color w:val="0B2545"/>
                <w:sz w:val="16"/>
              </w:rPr>
              <w:t>Shopping Cart never overwrites plan because a declaration changes.</w:t>
            </w:r>
          </w:p>
        </w:tc>
      </w:tr>
      <w:tr>
        <w:trPr>
          <w:cantSplit/>
        </w:trPr>
        <w:tc>
          <w:tcPr>
            <w:tcW w:type="dxa" w:w="2150"/>
            <w:vAlign w:val="center"/>
            <w:tcMar>
              <w:top w:w="70" w:type="dxa"/>
              <w:bottom w:w="70" w:type="dxa"/>
              <w:start w:w="100" w:type="dxa"/>
              <w:end w:w="100" w:type="dxa"/>
            </w:tcMar>
          </w:tcPr>
          <w:p>
            <w:pPr>
              <w:spacing w:after="0" w:line="247" w:lineRule="auto"/>
            </w:pPr>
            <w:r>
              <w:rPr>
                <w:rFonts w:ascii="Calibri" w:hAnsi="Calibri"/>
                <w:b w:val="0"/>
                <w:i w:val="0"/>
                <w:color w:val="0B2545"/>
                <w:sz w:val="16"/>
              </w:rPr>
              <w:t>Position Details</w:t>
            </w:r>
          </w:p>
        </w:tc>
        <w:tc>
          <w:tcPr>
            <w:tcW w:type="dxa" w:w="4350"/>
            <w:vAlign w:val="center"/>
            <w:tcMar>
              <w:top w:w="70" w:type="dxa"/>
              <w:bottom w:w="70" w:type="dxa"/>
              <w:start w:w="100" w:type="dxa"/>
              <w:end w:w="100" w:type="dxa"/>
            </w:tcMar>
          </w:tcPr>
          <w:p>
            <w:pPr>
              <w:spacing w:after="0" w:line="247" w:lineRule="auto"/>
            </w:pPr>
            <w:r>
              <w:rPr>
                <w:rFonts w:ascii="Calibri" w:hAnsi="Calibri"/>
                <w:b w:val="0"/>
                <w:i w:val="0"/>
                <w:color w:val="0B2545"/>
                <w:sz w:val="16"/>
              </w:rPr>
              <w:t>Current tier, purpose characteristics, provider, sector, underlying, tax handling, backtesting metrics and risk evidence.</w:t>
            </w:r>
          </w:p>
        </w:tc>
        <w:tc>
          <w:tcPr>
            <w:tcW w:type="dxa" w:w="2860"/>
            <w:vAlign w:val="center"/>
            <w:tcMar>
              <w:top w:w="70" w:type="dxa"/>
              <w:bottom w:w="70" w:type="dxa"/>
              <w:start w:w="100" w:type="dxa"/>
              <w:end w:w="100" w:type="dxa"/>
            </w:tcMar>
          </w:tcPr>
          <w:p>
            <w:pPr>
              <w:spacing w:after="0" w:line="247" w:lineRule="auto"/>
            </w:pPr>
            <w:r>
              <w:rPr>
                <w:rFonts w:ascii="Calibri" w:hAnsi="Calibri"/>
                <w:b w:val="0"/>
                <w:i w:val="0"/>
                <w:color w:val="0B2545"/>
                <w:sz w:val="16"/>
              </w:rPr>
              <w:t>Risk On terminology is canonical.</w:t>
            </w:r>
          </w:p>
        </w:tc>
      </w:tr>
      <w:tr>
        <w:trPr>
          <w:cantSplit/>
        </w:trPr>
        <w:tc>
          <w:tcPr>
            <w:tcW w:type="dxa" w:w="2150"/>
            <w:vAlign w:val="center"/>
            <w:tcMar>
              <w:top w:w="70" w:type="dxa"/>
              <w:bottom w:w="70" w:type="dxa"/>
              <w:start w:w="100" w:type="dxa"/>
              <w:end w:w="100" w:type="dxa"/>
            </w:tcMar>
          </w:tcPr>
          <w:p>
            <w:pPr>
              <w:spacing w:after="0" w:line="247" w:lineRule="auto"/>
            </w:pPr>
            <w:r>
              <w:rPr>
                <w:rFonts w:ascii="Calibri" w:hAnsi="Calibri"/>
                <w:b w:val="0"/>
                <w:i w:val="0"/>
                <w:color w:val="0B2545"/>
                <w:sz w:val="16"/>
              </w:rPr>
              <w:t>Allocations</w:t>
            </w:r>
          </w:p>
        </w:tc>
        <w:tc>
          <w:tcPr>
            <w:tcW w:type="dxa" w:w="4350"/>
            <w:vAlign w:val="center"/>
            <w:tcMar>
              <w:top w:w="70" w:type="dxa"/>
              <w:bottom w:w="70" w:type="dxa"/>
              <w:start w:w="100" w:type="dxa"/>
              <w:end w:w="100" w:type="dxa"/>
            </w:tcMar>
          </w:tcPr>
          <w:p>
            <w:pPr>
              <w:spacing w:after="0" w:line="247" w:lineRule="auto"/>
            </w:pPr>
            <w:r>
              <w:rPr>
                <w:rFonts w:ascii="Calibri" w:hAnsi="Calibri"/>
                <w:b w:val="0"/>
                <w:i w:val="0"/>
                <w:color w:val="0B2545"/>
                <w:sz w:val="16"/>
              </w:rPr>
              <w:t>Targets by account/tier and portfolio target version.</w:t>
            </w:r>
          </w:p>
        </w:tc>
        <w:tc>
          <w:tcPr>
            <w:tcW w:type="dxa" w:w="2860"/>
            <w:vAlign w:val="center"/>
            <w:tcMar>
              <w:top w:w="70" w:type="dxa"/>
              <w:bottom w:w="70" w:type="dxa"/>
              <w:start w:w="100" w:type="dxa"/>
              <w:end w:w="100" w:type="dxa"/>
            </w:tcMar>
          </w:tcPr>
          <w:p>
            <w:pPr>
              <w:spacing w:after="0" w:line="247" w:lineRule="auto"/>
            </w:pPr>
            <w:r>
              <w:rPr>
                <w:rFonts w:ascii="Calibri" w:hAnsi="Calibri"/>
                <w:b w:val="0"/>
                <w:i w:val="0"/>
                <w:color w:val="0B2545"/>
                <w:sz w:val="16"/>
              </w:rPr>
              <w:t>Targets are effective-dated and scenario results cite the version used.</w:t>
            </w:r>
          </w:p>
        </w:tc>
      </w:tr>
      <w:tr>
        <w:trPr>
          <w:cantSplit/>
        </w:trPr>
        <w:tc>
          <w:tcPr>
            <w:tcW w:type="dxa" w:w="2150"/>
            <w:vAlign w:val="center"/>
            <w:tcMar>
              <w:top w:w="70" w:type="dxa"/>
              <w:bottom w:w="70" w:type="dxa"/>
              <w:start w:w="100" w:type="dxa"/>
              <w:end w:w="100" w:type="dxa"/>
            </w:tcMar>
          </w:tcPr>
          <w:p>
            <w:pPr>
              <w:spacing w:after="0" w:line="247" w:lineRule="auto"/>
            </w:pPr>
            <w:r>
              <w:rPr>
                <w:rFonts w:ascii="Calibri" w:hAnsi="Calibri"/>
                <w:b w:val="0"/>
                <w:i w:val="0"/>
                <w:color w:val="0B2545"/>
                <w:sz w:val="16"/>
              </w:rPr>
              <w:t>Investment Activity Ledger</w:t>
            </w:r>
          </w:p>
        </w:tc>
        <w:tc>
          <w:tcPr>
            <w:tcW w:type="dxa" w:w="4350"/>
            <w:vAlign w:val="center"/>
            <w:tcMar>
              <w:top w:w="70" w:type="dxa"/>
              <w:bottom w:w="70" w:type="dxa"/>
              <w:start w:w="100" w:type="dxa"/>
              <w:end w:w="100" w:type="dxa"/>
            </w:tcMar>
          </w:tcPr>
          <w:p>
            <w:pPr>
              <w:spacing w:after="0" w:line="247" w:lineRule="auto"/>
            </w:pPr>
            <w:r>
              <w:rPr>
                <w:rFonts w:ascii="Calibri" w:hAnsi="Calibri"/>
                <w:b w:val="0"/>
                <w:i w:val="0"/>
                <w:color w:val="0B2545"/>
                <w:sz w:val="16"/>
              </w:rPr>
              <w:t>Actual sale and purchase events, realized P/L, fees, option/dividend activity and broker identifiers.</w:t>
            </w:r>
          </w:p>
        </w:tc>
        <w:tc>
          <w:tcPr>
            <w:tcW w:type="dxa" w:w="2860"/>
            <w:vAlign w:val="center"/>
            <w:tcMar>
              <w:top w:w="70" w:type="dxa"/>
              <w:bottom w:w="70" w:type="dxa"/>
              <w:start w:w="100" w:type="dxa"/>
              <w:end w:w="100" w:type="dxa"/>
            </w:tcMar>
          </w:tcPr>
          <w:p>
            <w:pPr>
              <w:spacing w:after="0" w:line="247" w:lineRule="auto"/>
            </w:pPr>
            <w:r>
              <w:rPr>
                <w:rFonts w:ascii="Calibri" w:hAnsi="Calibri"/>
                <w:b w:val="0"/>
                <w:i w:val="0"/>
                <w:color w:val="0B2545"/>
                <w:sz w:val="16"/>
              </w:rPr>
              <w:t>Only reconciled events produce actual results.</w:t>
            </w:r>
          </w:p>
        </w:tc>
      </w:tr>
      <w:tr>
        <w:trPr>
          <w:cantSplit/>
        </w:trPr>
        <w:tc>
          <w:tcPr>
            <w:tcW w:type="dxa" w:w="2150"/>
            <w:vAlign w:val="center"/>
            <w:tcMar>
              <w:top w:w="70" w:type="dxa"/>
              <w:bottom w:w="70" w:type="dxa"/>
              <w:start w:w="100" w:type="dxa"/>
              <w:end w:w="100" w:type="dxa"/>
            </w:tcMar>
          </w:tcPr>
          <w:p>
            <w:pPr>
              <w:spacing w:after="0" w:line="247" w:lineRule="auto"/>
            </w:pPr>
            <w:r>
              <w:rPr>
                <w:rFonts w:ascii="Calibri" w:hAnsi="Calibri"/>
                <w:b w:val="0"/>
                <w:i w:val="0"/>
                <w:color w:val="0B2545"/>
                <w:sz w:val="16"/>
              </w:rPr>
              <w:t>Income Plan</w:t>
            </w:r>
          </w:p>
        </w:tc>
        <w:tc>
          <w:tcPr>
            <w:tcW w:type="dxa" w:w="4350"/>
            <w:vAlign w:val="center"/>
            <w:tcMar>
              <w:top w:w="70" w:type="dxa"/>
              <w:bottom w:w="70" w:type="dxa"/>
              <w:start w:w="100" w:type="dxa"/>
              <w:end w:w="100" w:type="dxa"/>
            </w:tcMar>
          </w:tcPr>
          <w:p>
            <w:pPr>
              <w:spacing w:after="0" w:line="247" w:lineRule="auto"/>
            </w:pPr>
            <w:r>
              <w:rPr>
                <w:rFonts w:ascii="Calibri" w:hAnsi="Calibri"/>
                <w:b w:val="0"/>
                <w:i w:val="0"/>
                <w:color w:val="0B2545"/>
                <w:sz w:val="16"/>
              </w:rPr>
              <w:t>Current approved forward income plan and downstream plan impacts.</w:t>
            </w:r>
          </w:p>
        </w:tc>
        <w:tc>
          <w:tcPr>
            <w:tcW w:type="dxa" w:w="2860"/>
            <w:vAlign w:val="center"/>
            <w:tcMar>
              <w:top w:w="70" w:type="dxa"/>
              <w:bottom w:w="70" w:type="dxa"/>
              <w:start w:w="100" w:type="dxa"/>
              <w:end w:w="100" w:type="dxa"/>
            </w:tcMar>
          </w:tcPr>
          <w:p>
            <w:pPr>
              <w:spacing w:after="0" w:line="247" w:lineRule="auto"/>
            </w:pPr>
            <w:r>
              <w:rPr>
                <w:rFonts w:ascii="Calibri" w:hAnsi="Calibri"/>
                <w:b w:val="0"/>
                <w:i w:val="0"/>
                <w:color w:val="0B2545"/>
                <w:sz w:val="16"/>
              </w:rPr>
              <w:t>Projected effects remain scenario-only until reconciled execution.</w:t>
            </w:r>
          </w:p>
        </w:tc>
      </w:tr>
    </w:tbl>
    <w:p>
      <w:pPr>
        <w:spacing w:after="20"/>
      </w:pPr>
    </w:p>
    <w:p>
      <w:pPr>
        <w:pStyle w:val="Heading1"/>
      </w:pPr>
      <w:r>
        <w:t>12. Transaction, Lot and Symbol Controls</w:t>
      </w:r>
    </w:p>
    <w:p>
      <w:pPr>
        <w:pStyle w:val="ListBullet"/>
      </w:pPr>
      <w:r>
        <w:rPr>
          <w:rFonts w:ascii="Calibri" w:hAnsi="Calibri"/>
          <w:b w:val="0"/>
          <w:i w:val="0"/>
          <w:color w:val="0B2545"/>
          <w:sz w:val="21"/>
        </w:rPr>
        <w:t>The system never assumes FIFO. Lowest-cost-first is a recommendation method, not an automatic disposition rule.</w:t>
      </w:r>
    </w:p>
    <w:p>
      <w:pPr>
        <w:pStyle w:val="ListBullet"/>
      </w:pPr>
      <w:r>
        <w:rPr>
          <w:rFonts w:ascii="Calibri" w:hAnsi="Calibri"/>
          <w:b w:val="0"/>
          <w:i w:val="0"/>
          <w:color w:val="0B2545"/>
          <w:sz w:val="21"/>
        </w:rPr>
        <w:t>Every sale proposal lists exact lots and quantities. After execution, owner-approved reconciliation matches broker-reported transactions to the correct lots.</w:t>
      </w:r>
    </w:p>
    <w:p>
      <w:pPr>
        <w:pStyle w:val="ListBullet"/>
      </w:pPr>
      <w:r>
        <w:rPr>
          <w:rFonts w:ascii="Calibri" w:hAnsi="Calibri"/>
          <w:b w:val="0"/>
          <w:i w:val="0"/>
          <w:color w:val="0B2545"/>
          <w:sz w:val="21"/>
        </w:rPr>
        <w:t>Each purchase or sale fill is an independent transaction event, including multiple fills within one tranche.</w:t>
      </w:r>
    </w:p>
    <w:p>
      <w:pPr>
        <w:pStyle w:val="ListBullet"/>
      </w:pPr>
      <w:r>
        <w:rPr>
          <w:rFonts w:ascii="Calibri" w:hAnsi="Calibri"/>
          <w:b w:val="0"/>
          <w:i w:val="0"/>
          <w:color w:val="0B2545"/>
          <w:sz w:val="21"/>
        </w:rPr>
        <w:t>Initial transaction capture supports structured copy/paste or file import; an API adapter may be added without changing the ledger or scenario model.</w:t>
      </w:r>
    </w:p>
    <w:p>
      <w:pPr>
        <w:pStyle w:val="ListBullet"/>
      </w:pPr>
      <w:r>
        <w:rPr>
          <w:rFonts w:ascii="Calibri" w:hAnsi="Calibri"/>
          <w:b w:val="0"/>
          <w:i w:val="0"/>
          <w:color w:val="0B2545"/>
          <w:sz w:val="21"/>
        </w:rPr>
        <w:t>A confirmed symbol change updates current-symbol displays ubiquitously while retaining historical symbols and effective dates.</w:t>
      </w:r>
    </w:p>
    <w:p>
      <w:pPr>
        <w:pStyle w:val="ListBullet"/>
      </w:pPr>
      <w:r>
        <w:rPr>
          <w:rFonts w:ascii="Calibri" w:hAnsi="Calibri"/>
          <w:b w:val="0"/>
          <w:i w:val="0"/>
          <w:color w:val="0B2545"/>
          <w:sz w:val="21"/>
        </w:rPr>
        <w:t>Automated symbol, classification, price and reconciliation actions create system-log entries.</w:t>
      </w:r>
    </w:p>
    <w:p>
      <w:pPr>
        <w:pStyle w:val="Heading1"/>
      </w:pPr>
      <w:r>
        <w:t>13. Cumulative Decision Accountability</w:t>
      </w:r>
    </w:p>
    <w:tbl>
      <w:tblPr>
        <w:tblStyle w:val="TableGrid"/>
        <w:tblW w:type="dxa" w:w="9360"/>
        <w:jc w:val="left"/>
        <w:tblLayout w:type="fixed"/>
        <w:tblLook w:firstColumn="1" w:firstRow="1" w:lastColumn="0" w:lastRow="0" w:noHBand="0" w:noVBand="1" w:val="04A0"/>
      </w:tblPr>
      <w:tblGrid>
        <w:gridCol w:w="9360"/>
      </w:tblGrid>
      <w:tr>
        <w:trPr>
          <w:cantSplit/>
        </w:trPr>
        <w:tc>
          <w:tcPr>
            <w:tcW w:type="dxa" w:w="9360"/>
            <w:vAlign w:val="center"/>
            <w:tcMar>
              <w:top w:w="110" w:type="dxa"/>
              <w:bottom w:w="110" w:type="dxa"/>
              <w:start w:w="120" w:type="dxa"/>
              <w:end w:w="120" w:type="dxa"/>
            </w:tcMar>
            <w:shd w:fill="EAF4E2"/>
          </w:tcPr>
          <w:p>
            <w:pPr>
              <w:spacing w:after="0"/>
            </w:pPr>
            <w:r>
              <w:rPr>
                <w:rFonts w:ascii="Calibri" w:hAnsi="Calibri"/>
                <w:b/>
                <w:i w:val="0"/>
                <w:color w:val="315B24"/>
                <w:sz w:val="22"/>
              </w:rPr>
              <w:t xml:space="preserve">Approved P/L treatment: </w:t>
            </w:r>
            <w:r>
              <w:rPr>
                <w:rFonts w:ascii="Calibri" w:hAnsi="Calibri"/>
                <w:b w:val="0"/>
                <w:i w:val="0"/>
                <w:color w:val="315B24"/>
                <w:sz w:val="22"/>
              </w:rPr>
              <w:t>Increase Dividend Plan cost becomes cumulative realized capital P/L attributable to completed Shopping Cart swap sales, sourced from the Investment Activity Ledger. A realized loss is never added to the replacement position’s cost basis.</w:t>
            </w:r>
          </w:p>
        </w:tc>
      </w:tr>
    </w:tbl>
    <w:p>
      <w:pPr>
        <w:spacing w:after="20"/>
      </w:pPr>
    </w:p>
    <w:tbl>
      <w:tblPr>
        <w:tblStyle w:val="TableGrid"/>
        <w:tblW w:type="dxa" w:w="9360"/>
        <w:jc w:val="left"/>
        <w:tblLayout w:type="fixed"/>
        <w:tblLook w:firstColumn="1" w:firstRow="1" w:lastColumn="0" w:lastRow="0" w:noHBand="0" w:noVBand="1" w:val="04A0"/>
      </w:tblPr>
      <w:tblGrid>
        <w:gridCol w:w="3000"/>
        <w:gridCol w:w="6360"/>
      </w:tblGrid>
      <w:tr>
        <w:trPr>
          <w:tblHeader w:val="true"/>
          <w:cantSplit/>
        </w:trPr>
        <w:tc>
          <w:tcPr>
            <w:tcW w:type="dxa" w:w="3000"/>
            <w:shd w:fill="F2F4F7"/>
            <w:vAlign w:val="center"/>
            <w:tcMar>
              <w:top w:w="70" w:type="dxa"/>
              <w:bottom w:w="70" w:type="dxa"/>
              <w:start w:w="100" w:type="dxa"/>
              <w:end w:w="100" w:type="dxa"/>
            </w:tcMar>
          </w:tcPr>
          <w:p>
            <w:pPr>
              <w:spacing w:after="0"/>
            </w:pPr>
            <w:r>
              <w:rPr>
                <w:rFonts w:ascii="Calibri" w:hAnsi="Calibri"/>
                <w:b/>
                <w:i w:val="0"/>
                <w:color w:val="0B2545"/>
                <w:sz w:val="16"/>
              </w:rPr>
              <w:t>Cumulative measure</w:t>
            </w:r>
          </w:p>
        </w:tc>
        <w:tc>
          <w:tcPr>
            <w:tcW w:type="dxa" w:w="6360"/>
            <w:shd w:fill="F2F4F7"/>
            <w:vAlign w:val="center"/>
            <w:tcMar>
              <w:top w:w="70" w:type="dxa"/>
              <w:bottom w:w="70" w:type="dxa"/>
              <w:start w:w="100" w:type="dxa"/>
              <w:end w:w="100" w:type="dxa"/>
            </w:tcMar>
          </w:tcPr>
          <w:p>
            <w:pPr>
              <w:spacing w:after="0"/>
            </w:pPr>
            <w:r>
              <w:rPr>
                <w:rFonts w:ascii="Calibri" w:hAnsi="Calibri"/>
                <w:b/>
                <w:i w:val="0"/>
                <w:color w:val="0B2545"/>
                <w:sz w:val="16"/>
              </w:rPr>
              <w:t>Target source and definition</w:t>
            </w:r>
          </w:p>
        </w:tc>
      </w:tr>
      <w:tr>
        <w:trPr>
          <w:cantSplit/>
        </w:trPr>
        <w:tc>
          <w:tcPr>
            <w:tcW w:type="dxa" w:w="3000"/>
            <w:vAlign w:val="center"/>
            <w:tcMar>
              <w:top w:w="70" w:type="dxa"/>
              <w:bottom w:w="70" w:type="dxa"/>
              <w:start w:w="100" w:type="dxa"/>
              <w:end w:w="100" w:type="dxa"/>
            </w:tcMar>
          </w:tcPr>
          <w:p>
            <w:pPr>
              <w:spacing w:after="0" w:line="247" w:lineRule="auto"/>
            </w:pPr>
            <w:r>
              <w:rPr>
                <w:rFonts w:ascii="Calibri" w:hAnsi="Calibri"/>
                <w:b w:val="0"/>
                <w:i w:val="0"/>
                <w:color w:val="0B2545"/>
                <w:sz w:val="16"/>
              </w:rPr>
              <w:t>Realized swap P/L</w:t>
            </w:r>
          </w:p>
        </w:tc>
        <w:tc>
          <w:tcPr>
            <w:tcW w:type="dxa" w:w="6360"/>
            <w:vAlign w:val="center"/>
            <w:tcMar>
              <w:top w:w="70" w:type="dxa"/>
              <w:bottom w:w="70" w:type="dxa"/>
              <w:start w:w="100" w:type="dxa"/>
              <w:end w:w="100" w:type="dxa"/>
            </w:tcMar>
          </w:tcPr>
          <w:p>
            <w:pPr>
              <w:spacing w:after="0" w:line="247" w:lineRule="auto"/>
            </w:pPr>
            <w:r>
              <w:rPr>
                <w:rFonts w:ascii="Calibri" w:hAnsi="Calibri"/>
                <w:b w:val="0"/>
                <w:i w:val="0"/>
                <w:color w:val="0B2545"/>
                <w:sz w:val="16"/>
              </w:rPr>
              <w:t>Sum reconciled realized lot-sale P/L for completed Shopping Cart swap scenarios.</w:t>
            </w:r>
          </w:p>
        </w:tc>
      </w:tr>
      <w:tr>
        <w:trPr>
          <w:cantSplit/>
        </w:trPr>
        <w:tc>
          <w:tcPr>
            <w:tcW w:type="dxa" w:w="3000"/>
            <w:vAlign w:val="center"/>
            <w:tcMar>
              <w:top w:w="70" w:type="dxa"/>
              <w:bottom w:w="70" w:type="dxa"/>
              <w:start w:w="100" w:type="dxa"/>
              <w:end w:w="100" w:type="dxa"/>
            </w:tcMar>
          </w:tcPr>
          <w:p>
            <w:pPr>
              <w:spacing w:after="0" w:line="247" w:lineRule="auto"/>
            </w:pPr>
            <w:r>
              <w:rPr>
                <w:rFonts w:ascii="Calibri" w:hAnsi="Calibri"/>
                <w:b w:val="0"/>
                <w:i w:val="0"/>
                <w:color w:val="0B2545"/>
                <w:sz w:val="16"/>
              </w:rPr>
              <w:t>Annual income added</w:t>
            </w:r>
          </w:p>
        </w:tc>
        <w:tc>
          <w:tcPr>
            <w:tcW w:type="dxa" w:w="6360"/>
            <w:vAlign w:val="center"/>
            <w:tcMar>
              <w:top w:w="70" w:type="dxa"/>
              <w:bottom w:w="70" w:type="dxa"/>
              <w:start w:w="100" w:type="dxa"/>
              <w:end w:w="100" w:type="dxa"/>
            </w:tcMar>
          </w:tcPr>
          <w:p>
            <w:pPr>
              <w:spacing w:after="0" w:line="247" w:lineRule="auto"/>
            </w:pPr>
            <w:r>
              <w:rPr>
                <w:rFonts w:ascii="Calibri" w:hAnsi="Calibri"/>
                <w:b w:val="0"/>
                <w:i w:val="0"/>
                <w:color w:val="0B2545"/>
                <w:sz w:val="16"/>
              </w:rPr>
              <w:t>Sum actual plan-income additions associated with reconciled purchases at completion.</w:t>
            </w:r>
          </w:p>
        </w:tc>
      </w:tr>
      <w:tr>
        <w:trPr>
          <w:cantSplit/>
        </w:trPr>
        <w:tc>
          <w:tcPr>
            <w:tcW w:type="dxa" w:w="3000"/>
            <w:vAlign w:val="center"/>
            <w:tcMar>
              <w:top w:w="70" w:type="dxa"/>
              <w:bottom w:w="70" w:type="dxa"/>
              <w:start w:w="100" w:type="dxa"/>
              <w:end w:w="100" w:type="dxa"/>
            </w:tcMar>
          </w:tcPr>
          <w:p>
            <w:pPr>
              <w:spacing w:after="0" w:line="247" w:lineRule="auto"/>
            </w:pPr>
            <w:r>
              <w:rPr>
                <w:rFonts w:ascii="Calibri" w:hAnsi="Calibri"/>
                <w:b w:val="0"/>
                <w:i w:val="0"/>
                <w:color w:val="0B2545"/>
                <w:sz w:val="16"/>
              </w:rPr>
              <w:t>Annual income surrendered</w:t>
            </w:r>
          </w:p>
        </w:tc>
        <w:tc>
          <w:tcPr>
            <w:tcW w:type="dxa" w:w="6360"/>
            <w:vAlign w:val="center"/>
            <w:tcMar>
              <w:top w:w="70" w:type="dxa"/>
              <w:bottom w:w="70" w:type="dxa"/>
              <w:start w:w="100" w:type="dxa"/>
              <w:end w:w="100" w:type="dxa"/>
            </w:tcMar>
          </w:tcPr>
          <w:p>
            <w:pPr>
              <w:spacing w:after="0" w:line="247" w:lineRule="auto"/>
            </w:pPr>
            <w:r>
              <w:rPr>
                <w:rFonts w:ascii="Calibri" w:hAnsi="Calibri"/>
                <w:b w:val="0"/>
                <w:i w:val="0"/>
                <w:color w:val="0B2545"/>
                <w:sz w:val="16"/>
              </w:rPr>
              <w:t>Sum actual plan-income removal associated with reconciled sales at completion.</w:t>
            </w:r>
          </w:p>
        </w:tc>
      </w:tr>
      <w:tr>
        <w:trPr>
          <w:cantSplit/>
        </w:trPr>
        <w:tc>
          <w:tcPr>
            <w:tcW w:type="dxa" w:w="3000"/>
            <w:vAlign w:val="center"/>
            <w:tcMar>
              <w:top w:w="70" w:type="dxa"/>
              <w:bottom w:w="70" w:type="dxa"/>
              <w:start w:w="100" w:type="dxa"/>
              <w:end w:w="100" w:type="dxa"/>
            </w:tcMar>
          </w:tcPr>
          <w:p>
            <w:pPr>
              <w:spacing w:after="0" w:line="247" w:lineRule="auto"/>
            </w:pPr>
            <w:r>
              <w:rPr>
                <w:rFonts w:ascii="Calibri" w:hAnsi="Calibri"/>
                <w:b w:val="0"/>
                <w:i w:val="0"/>
                <w:color w:val="0B2545"/>
                <w:sz w:val="16"/>
              </w:rPr>
              <w:t>Net annual/monthly income change</w:t>
            </w:r>
          </w:p>
        </w:tc>
        <w:tc>
          <w:tcPr>
            <w:tcW w:type="dxa" w:w="6360"/>
            <w:vAlign w:val="center"/>
            <w:tcMar>
              <w:top w:w="70" w:type="dxa"/>
              <w:bottom w:w="70" w:type="dxa"/>
              <w:start w:w="100" w:type="dxa"/>
              <w:end w:w="100" w:type="dxa"/>
            </w:tcMar>
          </w:tcPr>
          <w:p>
            <w:pPr>
              <w:spacing w:after="0" w:line="247" w:lineRule="auto"/>
            </w:pPr>
            <w:r>
              <w:rPr>
                <w:rFonts w:ascii="Calibri" w:hAnsi="Calibri"/>
                <w:b w:val="0"/>
                <w:i w:val="0"/>
                <w:color w:val="0B2545"/>
                <w:sz w:val="16"/>
              </w:rPr>
              <w:t>Added less surrendered; monthly equals annual ÷ 12.</w:t>
            </w:r>
          </w:p>
        </w:tc>
      </w:tr>
      <w:tr>
        <w:trPr>
          <w:cantSplit/>
        </w:trPr>
        <w:tc>
          <w:tcPr>
            <w:tcW w:type="dxa" w:w="3000"/>
            <w:vAlign w:val="center"/>
            <w:tcMar>
              <w:top w:w="70" w:type="dxa"/>
              <w:bottom w:w="70" w:type="dxa"/>
              <w:start w:w="100" w:type="dxa"/>
              <w:end w:w="100" w:type="dxa"/>
            </w:tcMar>
          </w:tcPr>
          <w:p>
            <w:pPr>
              <w:spacing w:after="0" w:line="247" w:lineRule="auto"/>
            </w:pPr>
            <w:r>
              <w:rPr>
                <w:rFonts w:ascii="Calibri" w:hAnsi="Calibri"/>
                <w:b w:val="0"/>
                <w:i w:val="0"/>
                <w:color w:val="0B2545"/>
                <w:sz w:val="16"/>
              </w:rPr>
              <w:t>Income break-even estimate</w:t>
            </w:r>
          </w:p>
        </w:tc>
        <w:tc>
          <w:tcPr>
            <w:tcW w:type="dxa" w:w="6360"/>
            <w:vAlign w:val="center"/>
            <w:tcMar>
              <w:top w:w="70" w:type="dxa"/>
              <w:bottom w:w="70" w:type="dxa"/>
              <w:start w:w="100" w:type="dxa"/>
              <w:end w:w="100" w:type="dxa"/>
            </w:tcMar>
          </w:tcPr>
          <w:p>
            <w:pPr>
              <w:spacing w:after="0" w:line="247" w:lineRule="auto"/>
            </w:pPr>
            <w:r>
              <w:rPr>
                <w:rFonts w:ascii="Calibri" w:hAnsi="Calibri"/>
                <w:b w:val="0"/>
                <w:i w:val="0"/>
                <w:color w:val="0B2545"/>
                <w:sz w:val="16"/>
              </w:rPr>
              <w:t>Absolute cumulative realized swap loss ÷ positive cumulative monthly income increase; shown in months with assumptions.</w:t>
            </w:r>
          </w:p>
        </w:tc>
      </w:tr>
      <w:tr>
        <w:trPr>
          <w:cantSplit/>
        </w:trPr>
        <w:tc>
          <w:tcPr>
            <w:tcW w:type="dxa" w:w="3000"/>
            <w:vAlign w:val="center"/>
            <w:tcMar>
              <w:top w:w="70" w:type="dxa"/>
              <w:bottom w:w="70" w:type="dxa"/>
              <w:start w:w="100" w:type="dxa"/>
              <w:end w:w="100" w:type="dxa"/>
            </w:tcMar>
          </w:tcPr>
          <w:p>
            <w:pPr>
              <w:spacing w:after="0" w:line="247" w:lineRule="auto"/>
            </w:pPr>
            <w:r>
              <w:rPr>
                <w:rFonts w:ascii="Calibri" w:hAnsi="Calibri"/>
                <w:b w:val="0"/>
                <w:i w:val="0"/>
                <w:color w:val="0B2545"/>
                <w:sz w:val="16"/>
              </w:rPr>
              <w:t>Allocation progress</w:t>
            </w:r>
          </w:p>
        </w:tc>
        <w:tc>
          <w:tcPr>
            <w:tcW w:type="dxa" w:w="6360"/>
            <w:vAlign w:val="center"/>
            <w:tcMar>
              <w:top w:w="70" w:type="dxa"/>
              <w:bottom w:w="70" w:type="dxa"/>
              <w:start w:w="100" w:type="dxa"/>
              <w:end w:w="100" w:type="dxa"/>
            </w:tcMar>
          </w:tcPr>
          <w:p>
            <w:pPr>
              <w:spacing w:after="0" w:line="247" w:lineRule="auto"/>
            </w:pPr>
            <w:r>
              <w:rPr>
                <w:rFonts w:ascii="Calibri" w:hAnsi="Calibri"/>
                <w:b w:val="0"/>
                <w:i w:val="0"/>
                <w:color w:val="0B2545"/>
                <w:sz w:val="16"/>
              </w:rPr>
              <w:t>Cumulative and per-scenario change in account/portfolio distance to targets.</w:t>
            </w:r>
          </w:p>
        </w:tc>
      </w:tr>
      <w:tr>
        <w:trPr>
          <w:cantSplit/>
        </w:trPr>
        <w:tc>
          <w:tcPr>
            <w:tcW w:type="dxa" w:w="3000"/>
            <w:vAlign w:val="center"/>
            <w:tcMar>
              <w:top w:w="70" w:type="dxa"/>
              <w:bottom w:w="70" w:type="dxa"/>
              <w:start w:w="100" w:type="dxa"/>
              <w:end w:w="100" w:type="dxa"/>
            </w:tcMar>
          </w:tcPr>
          <w:p>
            <w:pPr>
              <w:spacing w:after="0" w:line="247" w:lineRule="auto"/>
            </w:pPr>
            <w:r>
              <w:rPr>
                <w:rFonts w:ascii="Calibri" w:hAnsi="Calibri"/>
                <w:b w:val="0"/>
                <w:i w:val="0"/>
                <w:color w:val="0B2545"/>
                <w:sz w:val="16"/>
              </w:rPr>
              <w:t>Decision follow-through</w:t>
            </w:r>
          </w:p>
        </w:tc>
        <w:tc>
          <w:tcPr>
            <w:tcW w:type="dxa" w:w="6360"/>
            <w:vAlign w:val="center"/>
            <w:tcMar>
              <w:top w:w="70" w:type="dxa"/>
              <w:bottom w:w="70" w:type="dxa"/>
              <w:start w:w="100" w:type="dxa"/>
              <w:end w:w="100" w:type="dxa"/>
            </w:tcMar>
          </w:tcPr>
          <w:p>
            <w:pPr>
              <w:spacing w:after="0" w:line="247" w:lineRule="auto"/>
            </w:pPr>
            <w:r>
              <w:rPr>
                <w:rFonts w:ascii="Calibri" w:hAnsi="Calibri"/>
                <w:b w:val="0"/>
                <w:i w:val="0"/>
                <w:color w:val="0B2545"/>
                <w:sz w:val="16"/>
              </w:rPr>
              <w:t>Approved lines, executed lines, cancelled/waived lines and unreconciled exceptions.</w:t>
            </w:r>
          </w:p>
        </w:tc>
      </w:tr>
    </w:tbl>
    <w:p>
      <w:pPr>
        <w:spacing w:after="20"/>
      </w:pPr>
    </w:p>
    <w:p>
      <w:r>
        <w:br w:type="page"/>
      </w:r>
    </w:p>
    <w:p>
      <w:pPr>
        <w:pStyle w:val="Heading1"/>
      </w:pPr>
      <w:r>
        <w:t>14. Functional Requirements</w:t>
      </w:r>
    </w:p>
    <w:tbl>
      <w:tblPr>
        <w:tblStyle w:val="TableGrid"/>
        <w:tblW w:type="dxa" w:w="9360"/>
        <w:jc w:val="left"/>
        <w:tblLayout w:type="fixed"/>
        <w:tblLook w:firstColumn="1" w:firstRow="1" w:lastColumn="0" w:lastRow="0" w:noHBand="0" w:noVBand="1" w:val="04A0"/>
      </w:tblPr>
      <w:tblGrid>
        <w:gridCol w:w="1350"/>
        <w:gridCol w:w="8010"/>
      </w:tblGrid>
      <w:tr>
        <w:trPr>
          <w:tblHeader w:val="true"/>
          <w:cantSplit/>
        </w:trPr>
        <w:tc>
          <w:tcPr>
            <w:tcW w:type="dxa" w:w="1350"/>
            <w:shd w:fill="F2F4F7"/>
            <w:vAlign w:val="center"/>
            <w:tcMar>
              <w:top w:w="70" w:type="dxa"/>
              <w:bottom w:w="70" w:type="dxa"/>
              <w:start w:w="100" w:type="dxa"/>
              <w:end w:w="100" w:type="dxa"/>
            </w:tcMar>
          </w:tcPr>
          <w:p>
            <w:pPr>
              <w:spacing w:after="0"/>
            </w:pPr>
            <w:r>
              <w:rPr>
                <w:rFonts w:ascii="Calibri" w:hAnsi="Calibri"/>
                <w:b/>
                <w:i w:val="0"/>
                <w:color w:val="0B2545"/>
                <w:sz w:val="16"/>
              </w:rPr>
              <w:t>ID</w:t>
            </w:r>
          </w:p>
        </w:tc>
        <w:tc>
          <w:tcPr>
            <w:tcW w:type="dxa" w:w="8010"/>
            <w:shd w:fill="F2F4F7"/>
            <w:vAlign w:val="center"/>
            <w:tcMar>
              <w:top w:w="70" w:type="dxa"/>
              <w:bottom w:w="70" w:type="dxa"/>
              <w:start w:w="100" w:type="dxa"/>
              <w:end w:w="100" w:type="dxa"/>
            </w:tcMar>
          </w:tcPr>
          <w:p>
            <w:pPr>
              <w:spacing w:after="0"/>
            </w:pPr>
            <w:r>
              <w:rPr>
                <w:rFonts w:ascii="Calibri" w:hAnsi="Calibri"/>
                <w:b/>
                <w:i w:val="0"/>
                <w:color w:val="0B2545"/>
                <w:sz w:val="16"/>
              </w:rPr>
              <w:t>Requirement</w:t>
            </w:r>
          </w:p>
        </w:tc>
      </w:tr>
      <w:tr>
        <w:trPr>
          <w:cantSplit/>
        </w:trPr>
        <w:tc>
          <w:tcPr>
            <w:tcW w:type="dxa" w:w="1350"/>
            <w:vAlign w:val="center"/>
            <w:tcMar>
              <w:top w:w="70" w:type="dxa"/>
              <w:bottom w:w="70" w:type="dxa"/>
              <w:start w:w="100" w:type="dxa"/>
              <w:end w:w="100" w:type="dxa"/>
            </w:tcMar>
          </w:tcPr>
          <w:p>
            <w:pPr>
              <w:spacing w:after="0" w:line="247" w:lineRule="auto"/>
            </w:pPr>
            <w:r>
              <w:rPr>
                <w:rFonts w:ascii="Calibri" w:hAnsi="Calibri"/>
                <w:b w:val="0"/>
                <w:i w:val="0"/>
                <w:color w:val="0B2545"/>
                <w:sz w:val="16"/>
              </w:rPr>
              <w:t>BR-SC-001</w:t>
            </w:r>
          </w:p>
        </w:tc>
        <w:tc>
          <w:tcPr>
            <w:tcW w:type="dxa" w:w="8010"/>
            <w:vAlign w:val="center"/>
            <w:tcMar>
              <w:top w:w="70" w:type="dxa"/>
              <w:bottom w:w="70" w:type="dxa"/>
              <w:start w:w="100" w:type="dxa"/>
              <w:end w:w="100" w:type="dxa"/>
            </w:tcMar>
          </w:tcPr>
          <w:p>
            <w:pPr>
              <w:spacing w:after="0" w:line="247" w:lineRule="auto"/>
            </w:pPr>
            <w:r>
              <w:rPr>
                <w:rFonts w:ascii="Calibri" w:hAnsi="Calibri"/>
                <w:b w:val="0"/>
                <w:i w:val="0"/>
                <w:color w:val="0B2545"/>
                <w:sz w:val="16"/>
              </w:rPr>
              <w:t>Create separate New Money, Exit/Replacement and Rebalance scenarios.</w:t>
            </w:r>
          </w:p>
        </w:tc>
      </w:tr>
      <w:tr>
        <w:trPr>
          <w:cantSplit/>
        </w:trPr>
        <w:tc>
          <w:tcPr>
            <w:tcW w:type="dxa" w:w="1350"/>
            <w:vAlign w:val="center"/>
            <w:tcMar>
              <w:top w:w="70" w:type="dxa"/>
              <w:bottom w:w="70" w:type="dxa"/>
              <w:start w:w="100" w:type="dxa"/>
              <w:end w:w="100" w:type="dxa"/>
            </w:tcMar>
          </w:tcPr>
          <w:p>
            <w:pPr>
              <w:spacing w:after="0" w:line="247" w:lineRule="auto"/>
            </w:pPr>
            <w:r>
              <w:rPr>
                <w:rFonts w:ascii="Calibri" w:hAnsi="Calibri"/>
                <w:b w:val="0"/>
                <w:i w:val="0"/>
                <w:color w:val="0B2545"/>
                <w:sz w:val="16"/>
              </w:rPr>
              <w:t>BR-SC-002</w:t>
            </w:r>
          </w:p>
        </w:tc>
        <w:tc>
          <w:tcPr>
            <w:tcW w:type="dxa" w:w="8010"/>
            <w:vAlign w:val="center"/>
            <w:tcMar>
              <w:top w:w="70" w:type="dxa"/>
              <w:bottom w:w="70" w:type="dxa"/>
              <w:start w:w="100" w:type="dxa"/>
              <w:end w:w="100" w:type="dxa"/>
            </w:tcMar>
          </w:tcPr>
          <w:p>
            <w:pPr>
              <w:spacing w:after="0" w:line="247" w:lineRule="auto"/>
            </w:pPr>
            <w:r>
              <w:rPr>
                <w:rFonts w:ascii="Calibri" w:hAnsi="Calibri"/>
                <w:b w:val="0"/>
                <w:i w:val="0"/>
                <w:color w:val="0B2545"/>
                <w:sz w:val="16"/>
              </w:rPr>
              <w:t>Select and display the affected account before evaluating candidates.</w:t>
            </w:r>
          </w:p>
        </w:tc>
      </w:tr>
      <w:tr>
        <w:trPr>
          <w:cantSplit/>
        </w:trPr>
        <w:tc>
          <w:tcPr>
            <w:tcW w:type="dxa" w:w="1350"/>
            <w:vAlign w:val="center"/>
            <w:tcMar>
              <w:top w:w="70" w:type="dxa"/>
              <w:bottom w:w="70" w:type="dxa"/>
              <w:start w:w="100" w:type="dxa"/>
              <w:end w:w="100" w:type="dxa"/>
            </w:tcMar>
          </w:tcPr>
          <w:p>
            <w:pPr>
              <w:spacing w:after="0" w:line="247" w:lineRule="auto"/>
            </w:pPr>
            <w:r>
              <w:rPr>
                <w:rFonts w:ascii="Calibri" w:hAnsi="Calibri"/>
                <w:b w:val="0"/>
                <w:i w:val="0"/>
                <w:color w:val="0B2545"/>
                <w:sz w:val="16"/>
              </w:rPr>
              <w:t>BR-SC-003</w:t>
            </w:r>
          </w:p>
        </w:tc>
        <w:tc>
          <w:tcPr>
            <w:tcW w:type="dxa" w:w="8010"/>
            <w:vAlign w:val="center"/>
            <w:tcMar>
              <w:top w:w="70" w:type="dxa"/>
              <w:bottom w:w="70" w:type="dxa"/>
              <w:start w:w="100" w:type="dxa"/>
              <w:end w:w="100" w:type="dxa"/>
            </w:tcMar>
          </w:tcPr>
          <w:p>
            <w:pPr>
              <w:spacing w:after="0" w:line="247" w:lineRule="auto"/>
            </w:pPr>
            <w:r>
              <w:rPr>
                <w:rFonts w:ascii="Calibri" w:hAnsi="Calibri"/>
                <w:b w:val="0"/>
                <w:i w:val="0"/>
                <w:color w:val="0B2545"/>
                <w:sz w:val="16"/>
              </w:rPr>
              <w:t>Select exact sale lots; never infer FIFO.</w:t>
            </w:r>
          </w:p>
        </w:tc>
      </w:tr>
      <w:tr>
        <w:trPr>
          <w:cantSplit/>
        </w:trPr>
        <w:tc>
          <w:tcPr>
            <w:tcW w:type="dxa" w:w="1350"/>
            <w:vAlign w:val="center"/>
            <w:tcMar>
              <w:top w:w="70" w:type="dxa"/>
              <w:bottom w:w="70" w:type="dxa"/>
              <w:start w:w="100" w:type="dxa"/>
              <w:end w:w="100" w:type="dxa"/>
            </w:tcMar>
          </w:tcPr>
          <w:p>
            <w:pPr>
              <w:spacing w:after="0" w:line="247" w:lineRule="auto"/>
            </w:pPr>
            <w:r>
              <w:rPr>
                <w:rFonts w:ascii="Calibri" w:hAnsi="Calibri"/>
                <w:b w:val="0"/>
                <w:i w:val="0"/>
                <w:color w:val="0B2545"/>
                <w:sz w:val="16"/>
              </w:rPr>
              <w:t>BR-SC-004</w:t>
            </w:r>
          </w:p>
        </w:tc>
        <w:tc>
          <w:tcPr>
            <w:tcW w:type="dxa" w:w="8010"/>
            <w:vAlign w:val="center"/>
            <w:tcMar>
              <w:top w:w="70" w:type="dxa"/>
              <w:bottom w:w="70" w:type="dxa"/>
              <w:start w:w="100" w:type="dxa"/>
              <w:end w:w="100" w:type="dxa"/>
            </w:tcMar>
          </w:tcPr>
          <w:p>
            <w:pPr>
              <w:spacing w:after="0" w:line="247" w:lineRule="auto"/>
            </w:pPr>
            <w:r>
              <w:rPr>
                <w:rFonts w:ascii="Calibri" w:hAnsi="Calibri"/>
                <w:b w:val="0"/>
                <w:i w:val="0"/>
                <w:color w:val="0B2545"/>
                <w:sz w:val="16"/>
              </w:rPr>
              <w:t>Offer lowest-cost-first lot recommendations without applying them automatically.</w:t>
            </w:r>
          </w:p>
        </w:tc>
      </w:tr>
      <w:tr>
        <w:trPr>
          <w:cantSplit/>
        </w:trPr>
        <w:tc>
          <w:tcPr>
            <w:tcW w:type="dxa" w:w="1350"/>
            <w:vAlign w:val="center"/>
            <w:tcMar>
              <w:top w:w="70" w:type="dxa"/>
              <w:bottom w:w="70" w:type="dxa"/>
              <w:start w:w="100" w:type="dxa"/>
              <w:end w:w="100" w:type="dxa"/>
            </w:tcMar>
          </w:tcPr>
          <w:p>
            <w:pPr>
              <w:spacing w:after="0" w:line="247" w:lineRule="auto"/>
            </w:pPr>
            <w:r>
              <w:rPr>
                <w:rFonts w:ascii="Calibri" w:hAnsi="Calibri"/>
                <w:b w:val="0"/>
                <w:i w:val="0"/>
                <w:color w:val="0B2545"/>
                <w:sz w:val="16"/>
              </w:rPr>
              <w:t>BR-SC-005</w:t>
            </w:r>
          </w:p>
        </w:tc>
        <w:tc>
          <w:tcPr>
            <w:tcW w:type="dxa" w:w="8010"/>
            <w:vAlign w:val="center"/>
            <w:tcMar>
              <w:top w:w="70" w:type="dxa"/>
              <w:bottom w:w="70" w:type="dxa"/>
              <w:start w:w="100" w:type="dxa"/>
              <w:end w:w="100" w:type="dxa"/>
            </w:tcMar>
          </w:tcPr>
          <w:p>
            <w:pPr>
              <w:spacing w:after="0" w:line="247" w:lineRule="auto"/>
            </w:pPr>
            <w:r>
              <w:rPr>
                <w:rFonts w:ascii="Calibri" w:hAnsi="Calibri"/>
                <w:b w:val="0"/>
                <w:i w:val="0"/>
                <w:color w:val="0B2545"/>
                <w:sz w:val="16"/>
              </w:rPr>
              <w:t>Model multiple sale lots, purchase lines and execution tranches in one scenario.</w:t>
            </w:r>
          </w:p>
        </w:tc>
      </w:tr>
      <w:tr>
        <w:trPr>
          <w:cantSplit/>
        </w:trPr>
        <w:tc>
          <w:tcPr>
            <w:tcW w:type="dxa" w:w="1350"/>
            <w:vAlign w:val="center"/>
            <w:tcMar>
              <w:top w:w="70" w:type="dxa"/>
              <w:bottom w:w="70" w:type="dxa"/>
              <w:start w:w="100" w:type="dxa"/>
              <w:end w:w="100" w:type="dxa"/>
            </w:tcMar>
          </w:tcPr>
          <w:p>
            <w:pPr>
              <w:spacing w:after="0" w:line="247" w:lineRule="auto"/>
            </w:pPr>
            <w:r>
              <w:rPr>
                <w:rFonts w:ascii="Calibri" w:hAnsi="Calibri"/>
                <w:b w:val="0"/>
                <w:i w:val="0"/>
                <w:color w:val="0B2545"/>
                <w:sz w:val="16"/>
              </w:rPr>
              <w:t>BR-SC-006</w:t>
            </w:r>
          </w:p>
        </w:tc>
        <w:tc>
          <w:tcPr>
            <w:tcW w:type="dxa" w:w="8010"/>
            <w:vAlign w:val="center"/>
            <w:tcMar>
              <w:top w:w="70" w:type="dxa"/>
              <w:bottom w:w="70" w:type="dxa"/>
              <w:start w:w="100" w:type="dxa"/>
              <w:end w:w="100" w:type="dxa"/>
            </w:tcMar>
          </w:tcPr>
          <w:p>
            <w:pPr>
              <w:spacing w:after="0" w:line="247" w:lineRule="auto"/>
            </w:pPr>
            <w:r>
              <w:rPr>
                <w:rFonts w:ascii="Calibri" w:hAnsi="Calibri"/>
                <w:b w:val="0"/>
                <w:i w:val="0"/>
                <w:color w:val="0B2545"/>
                <w:sz w:val="16"/>
              </w:rPr>
              <w:t>Calculate expected proceeds, projected P/L, income surrendered and remaining cash.</w:t>
            </w:r>
          </w:p>
        </w:tc>
      </w:tr>
      <w:tr>
        <w:trPr>
          <w:cantSplit/>
        </w:trPr>
        <w:tc>
          <w:tcPr>
            <w:tcW w:type="dxa" w:w="1350"/>
            <w:vAlign w:val="center"/>
            <w:tcMar>
              <w:top w:w="70" w:type="dxa"/>
              <w:bottom w:w="70" w:type="dxa"/>
              <w:start w:w="100" w:type="dxa"/>
              <w:end w:w="100" w:type="dxa"/>
            </w:tcMar>
          </w:tcPr>
          <w:p>
            <w:pPr>
              <w:spacing w:after="0" w:line="247" w:lineRule="auto"/>
            </w:pPr>
            <w:r>
              <w:rPr>
                <w:rFonts w:ascii="Calibri" w:hAnsi="Calibri"/>
                <w:b w:val="0"/>
                <w:i w:val="0"/>
                <w:color w:val="0B2545"/>
                <w:sz w:val="16"/>
              </w:rPr>
              <w:t>BR-SC-007</w:t>
            </w:r>
          </w:p>
        </w:tc>
        <w:tc>
          <w:tcPr>
            <w:tcW w:type="dxa" w:w="8010"/>
            <w:vAlign w:val="center"/>
            <w:tcMar>
              <w:top w:w="70" w:type="dxa"/>
              <w:bottom w:w="70" w:type="dxa"/>
              <w:start w:w="100" w:type="dxa"/>
              <w:end w:w="100" w:type="dxa"/>
            </w:tcMar>
          </w:tcPr>
          <w:p>
            <w:pPr>
              <w:spacing w:after="0" w:line="247" w:lineRule="auto"/>
            </w:pPr>
            <w:r>
              <w:rPr>
                <w:rFonts w:ascii="Calibri" w:hAnsi="Calibri"/>
                <w:b w:val="0"/>
                <w:i w:val="0"/>
                <w:color w:val="0B2545"/>
                <w:sz w:val="16"/>
              </w:rPr>
              <w:t>Calculate proposed weekly/monthly/annual income equivalents and forward income yield.</w:t>
            </w:r>
          </w:p>
        </w:tc>
      </w:tr>
      <w:tr>
        <w:trPr>
          <w:cantSplit/>
        </w:trPr>
        <w:tc>
          <w:tcPr>
            <w:tcW w:type="dxa" w:w="1350"/>
            <w:vAlign w:val="center"/>
            <w:tcMar>
              <w:top w:w="70" w:type="dxa"/>
              <w:bottom w:w="70" w:type="dxa"/>
              <w:start w:w="100" w:type="dxa"/>
              <w:end w:w="100" w:type="dxa"/>
            </w:tcMar>
          </w:tcPr>
          <w:p>
            <w:pPr>
              <w:spacing w:after="0" w:line="247" w:lineRule="auto"/>
            </w:pPr>
            <w:r>
              <w:rPr>
                <w:rFonts w:ascii="Calibri" w:hAnsi="Calibri"/>
                <w:b w:val="0"/>
                <w:i w:val="0"/>
                <w:color w:val="0B2545"/>
                <w:sz w:val="16"/>
              </w:rPr>
              <w:t>BR-SC-008</w:t>
            </w:r>
          </w:p>
        </w:tc>
        <w:tc>
          <w:tcPr>
            <w:tcW w:type="dxa" w:w="8010"/>
            <w:vAlign w:val="center"/>
            <w:tcMar>
              <w:top w:w="70" w:type="dxa"/>
              <w:bottom w:w="70" w:type="dxa"/>
              <w:start w:w="100" w:type="dxa"/>
              <w:end w:w="100" w:type="dxa"/>
            </w:tcMar>
          </w:tcPr>
          <w:p>
            <w:pPr>
              <w:spacing w:after="0" w:line="247" w:lineRule="auto"/>
            </w:pPr>
            <w:r>
              <w:rPr>
                <w:rFonts w:ascii="Calibri" w:hAnsi="Calibri"/>
                <w:b w:val="0"/>
                <w:i w:val="0"/>
                <w:color w:val="0B2545"/>
                <w:sz w:val="16"/>
              </w:rPr>
              <w:t>Preserve price, dividend-plan, classification and allocation-target snapshots for every version.</w:t>
            </w:r>
          </w:p>
        </w:tc>
      </w:tr>
      <w:tr>
        <w:trPr>
          <w:cantSplit/>
        </w:trPr>
        <w:tc>
          <w:tcPr>
            <w:tcW w:type="dxa" w:w="1350"/>
            <w:vAlign w:val="center"/>
            <w:tcMar>
              <w:top w:w="70" w:type="dxa"/>
              <w:bottom w:w="70" w:type="dxa"/>
              <w:start w:w="100" w:type="dxa"/>
              <w:end w:w="100" w:type="dxa"/>
            </w:tcMar>
          </w:tcPr>
          <w:p>
            <w:pPr>
              <w:spacing w:after="0" w:line="247" w:lineRule="auto"/>
            </w:pPr>
            <w:r>
              <w:rPr>
                <w:rFonts w:ascii="Calibri" w:hAnsi="Calibri"/>
                <w:b w:val="0"/>
                <w:i w:val="0"/>
                <w:color w:val="0B2545"/>
                <w:sz w:val="16"/>
              </w:rPr>
              <w:t>BR-SC-009</w:t>
            </w:r>
          </w:p>
        </w:tc>
        <w:tc>
          <w:tcPr>
            <w:tcW w:type="dxa" w:w="8010"/>
            <w:vAlign w:val="center"/>
            <w:tcMar>
              <w:top w:w="70" w:type="dxa"/>
              <w:bottom w:w="70" w:type="dxa"/>
              <w:start w:w="100" w:type="dxa"/>
              <w:end w:w="100" w:type="dxa"/>
            </w:tcMar>
          </w:tcPr>
          <w:p>
            <w:pPr>
              <w:spacing w:after="0" w:line="247" w:lineRule="auto"/>
            </w:pPr>
            <w:r>
              <w:rPr>
                <w:rFonts w:ascii="Calibri" w:hAnsi="Calibri"/>
                <w:b w:val="0"/>
                <w:i w:val="0"/>
                <w:color w:val="0B2545"/>
                <w:sz w:val="16"/>
              </w:rPr>
              <w:t>Show Foundation/Core/Risk On allocation before, target, after and progress for the affected account.</w:t>
            </w:r>
          </w:p>
        </w:tc>
      </w:tr>
      <w:tr>
        <w:trPr>
          <w:cantSplit/>
        </w:trPr>
        <w:tc>
          <w:tcPr>
            <w:tcW w:type="dxa" w:w="1350"/>
            <w:vAlign w:val="center"/>
            <w:tcMar>
              <w:top w:w="70" w:type="dxa"/>
              <w:bottom w:w="70" w:type="dxa"/>
              <w:start w:w="100" w:type="dxa"/>
              <w:end w:w="100" w:type="dxa"/>
            </w:tcMar>
          </w:tcPr>
          <w:p>
            <w:pPr>
              <w:spacing w:after="0" w:line="247" w:lineRule="auto"/>
            </w:pPr>
            <w:r>
              <w:rPr>
                <w:rFonts w:ascii="Calibri" w:hAnsi="Calibri"/>
                <w:b w:val="0"/>
                <w:i w:val="0"/>
                <w:color w:val="0B2545"/>
                <w:sz w:val="16"/>
              </w:rPr>
              <w:t>BR-SC-010</w:t>
            </w:r>
          </w:p>
        </w:tc>
        <w:tc>
          <w:tcPr>
            <w:tcW w:type="dxa" w:w="8010"/>
            <w:vAlign w:val="center"/>
            <w:tcMar>
              <w:top w:w="70" w:type="dxa"/>
              <w:bottom w:w="70" w:type="dxa"/>
              <w:start w:w="100" w:type="dxa"/>
              <w:end w:w="100" w:type="dxa"/>
            </w:tcMar>
          </w:tcPr>
          <w:p>
            <w:pPr>
              <w:spacing w:after="0" w:line="247" w:lineRule="auto"/>
            </w:pPr>
            <w:r>
              <w:rPr>
                <w:rFonts w:ascii="Calibri" w:hAnsi="Calibri"/>
                <w:b w:val="0"/>
                <w:i w:val="0"/>
                <w:color w:val="0B2545"/>
                <w:sz w:val="16"/>
              </w:rPr>
              <w:t>Show the same allocation analysis at portfolio level.</w:t>
            </w:r>
          </w:p>
        </w:tc>
      </w:tr>
      <w:tr>
        <w:trPr>
          <w:cantSplit/>
        </w:trPr>
        <w:tc>
          <w:tcPr>
            <w:tcW w:type="dxa" w:w="1350"/>
            <w:vAlign w:val="center"/>
            <w:tcMar>
              <w:top w:w="70" w:type="dxa"/>
              <w:bottom w:w="70" w:type="dxa"/>
              <w:start w:w="100" w:type="dxa"/>
              <w:end w:w="100" w:type="dxa"/>
            </w:tcMar>
          </w:tcPr>
          <w:p>
            <w:pPr>
              <w:spacing w:after="0" w:line="247" w:lineRule="auto"/>
            </w:pPr>
            <w:r>
              <w:rPr>
                <w:rFonts w:ascii="Calibri" w:hAnsi="Calibri"/>
                <w:b w:val="0"/>
                <w:i w:val="0"/>
                <w:color w:val="0B2545"/>
                <w:sz w:val="16"/>
              </w:rPr>
              <w:t>BR-SC-011</w:t>
            </w:r>
          </w:p>
        </w:tc>
        <w:tc>
          <w:tcPr>
            <w:tcW w:type="dxa" w:w="8010"/>
            <w:vAlign w:val="center"/>
            <w:tcMar>
              <w:top w:w="70" w:type="dxa"/>
              <w:bottom w:w="70" w:type="dxa"/>
              <w:start w:w="100" w:type="dxa"/>
              <w:end w:w="100" w:type="dxa"/>
            </w:tcMar>
          </w:tcPr>
          <w:p>
            <w:pPr>
              <w:spacing w:after="0" w:line="247" w:lineRule="auto"/>
            </w:pPr>
            <w:r>
              <w:rPr>
                <w:rFonts w:ascii="Calibri" w:hAnsi="Calibri"/>
                <w:b w:val="0"/>
                <w:i w:val="0"/>
                <w:color w:val="0B2545"/>
                <w:sz w:val="16"/>
              </w:rPr>
              <w:t>Exclude uninvested cash from tier allocation denominators and display it separately.</w:t>
            </w:r>
          </w:p>
        </w:tc>
      </w:tr>
      <w:tr>
        <w:trPr>
          <w:cantSplit/>
        </w:trPr>
        <w:tc>
          <w:tcPr>
            <w:tcW w:type="dxa" w:w="1350"/>
            <w:vAlign w:val="center"/>
            <w:tcMar>
              <w:top w:w="70" w:type="dxa"/>
              <w:bottom w:w="70" w:type="dxa"/>
              <w:start w:w="100" w:type="dxa"/>
              <w:end w:w="100" w:type="dxa"/>
            </w:tcMar>
          </w:tcPr>
          <w:p>
            <w:pPr>
              <w:spacing w:after="0" w:line="247" w:lineRule="auto"/>
            </w:pPr>
            <w:r>
              <w:rPr>
                <w:rFonts w:ascii="Calibri" w:hAnsi="Calibri"/>
                <w:b w:val="0"/>
                <w:i w:val="0"/>
                <w:color w:val="0B2545"/>
                <w:sz w:val="16"/>
              </w:rPr>
              <w:t>BR-SC-012</w:t>
            </w:r>
          </w:p>
        </w:tc>
        <w:tc>
          <w:tcPr>
            <w:tcW w:type="dxa" w:w="8010"/>
            <w:vAlign w:val="center"/>
            <w:tcMar>
              <w:top w:w="70" w:type="dxa"/>
              <w:bottom w:w="70" w:type="dxa"/>
              <w:start w:w="100" w:type="dxa"/>
              <w:end w:w="100" w:type="dxa"/>
            </w:tcMar>
          </w:tcPr>
          <w:p>
            <w:pPr>
              <w:spacing w:after="0" w:line="247" w:lineRule="auto"/>
            </w:pPr>
            <w:r>
              <w:rPr>
                <w:rFonts w:ascii="Calibri" w:hAnsi="Calibri"/>
                <w:b w:val="0"/>
                <w:i w:val="0"/>
                <w:color w:val="0B2545"/>
                <w:sz w:val="16"/>
              </w:rPr>
              <w:t>Show each scenario’s separate income, principal/NAV, backtesting, concentration, tax and liquidity evidence.</w:t>
            </w:r>
          </w:p>
        </w:tc>
      </w:tr>
      <w:tr>
        <w:trPr>
          <w:cantSplit/>
        </w:trPr>
        <w:tc>
          <w:tcPr>
            <w:tcW w:type="dxa" w:w="1350"/>
            <w:vAlign w:val="center"/>
            <w:tcMar>
              <w:top w:w="70" w:type="dxa"/>
              <w:bottom w:w="70" w:type="dxa"/>
              <w:start w:w="100" w:type="dxa"/>
              <w:end w:w="100" w:type="dxa"/>
            </w:tcMar>
          </w:tcPr>
          <w:p>
            <w:pPr>
              <w:spacing w:after="0" w:line="247" w:lineRule="auto"/>
            </w:pPr>
            <w:r>
              <w:rPr>
                <w:rFonts w:ascii="Calibri" w:hAnsi="Calibri"/>
                <w:b w:val="0"/>
                <w:i w:val="0"/>
                <w:color w:val="0B2545"/>
                <w:sz w:val="16"/>
              </w:rPr>
              <w:t>BR-SC-013</w:t>
            </w:r>
          </w:p>
        </w:tc>
        <w:tc>
          <w:tcPr>
            <w:tcW w:type="dxa" w:w="8010"/>
            <w:vAlign w:val="center"/>
            <w:tcMar>
              <w:top w:w="70" w:type="dxa"/>
              <w:bottom w:w="70" w:type="dxa"/>
              <w:start w:w="100" w:type="dxa"/>
              <w:end w:w="100" w:type="dxa"/>
            </w:tcMar>
          </w:tcPr>
          <w:p>
            <w:pPr>
              <w:spacing w:after="0" w:line="247" w:lineRule="auto"/>
            </w:pPr>
            <w:r>
              <w:rPr>
                <w:rFonts w:ascii="Calibri" w:hAnsi="Calibri"/>
                <w:b w:val="0"/>
                <w:i w:val="0"/>
                <w:color w:val="0B2545"/>
                <w:sz w:val="16"/>
              </w:rPr>
              <w:t>Warn when a scenario worsens an allocation or other advisory measure; allow owner override with reason.</w:t>
            </w:r>
          </w:p>
        </w:tc>
      </w:tr>
      <w:tr>
        <w:trPr>
          <w:cantSplit/>
        </w:trPr>
        <w:tc>
          <w:tcPr>
            <w:tcW w:type="dxa" w:w="1350"/>
            <w:vAlign w:val="center"/>
            <w:tcMar>
              <w:top w:w="70" w:type="dxa"/>
              <w:bottom w:w="70" w:type="dxa"/>
              <w:start w:w="100" w:type="dxa"/>
              <w:end w:w="100" w:type="dxa"/>
            </w:tcMar>
          </w:tcPr>
          <w:p>
            <w:pPr>
              <w:spacing w:after="0" w:line="247" w:lineRule="auto"/>
            </w:pPr>
            <w:r>
              <w:rPr>
                <w:rFonts w:ascii="Calibri" w:hAnsi="Calibri"/>
                <w:b w:val="0"/>
                <w:i w:val="0"/>
                <w:color w:val="0B2545"/>
                <w:sz w:val="16"/>
              </w:rPr>
              <w:t>BR-SC-014</w:t>
            </w:r>
          </w:p>
        </w:tc>
        <w:tc>
          <w:tcPr>
            <w:tcW w:type="dxa" w:w="8010"/>
            <w:vAlign w:val="center"/>
            <w:tcMar>
              <w:top w:w="70" w:type="dxa"/>
              <w:bottom w:w="70" w:type="dxa"/>
              <w:start w:w="100" w:type="dxa"/>
              <w:end w:w="100" w:type="dxa"/>
            </w:tcMar>
          </w:tcPr>
          <w:p>
            <w:pPr>
              <w:spacing w:after="0" w:line="247" w:lineRule="auto"/>
            </w:pPr>
            <w:r>
              <w:rPr>
                <w:rFonts w:ascii="Calibri" w:hAnsi="Calibri"/>
                <w:b w:val="0"/>
                <w:i w:val="0"/>
                <w:color w:val="0B2545"/>
                <w:sz w:val="16"/>
              </w:rPr>
              <w:t>Block approval for invalid quantities, unresolved lots, unexplained negative cash or unusable inputs.</w:t>
            </w:r>
          </w:p>
        </w:tc>
      </w:tr>
      <w:tr>
        <w:trPr>
          <w:cantSplit/>
        </w:trPr>
        <w:tc>
          <w:tcPr>
            <w:tcW w:type="dxa" w:w="1350"/>
            <w:vAlign w:val="center"/>
            <w:tcMar>
              <w:top w:w="70" w:type="dxa"/>
              <w:bottom w:w="70" w:type="dxa"/>
              <w:start w:w="100" w:type="dxa"/>
              <w:end w:w="100" w:type="dxa"/>
            </w:tcMar>
          </w:tcPr>
          <w:p>
            <w:pPr>
              <w:spacing w:after="0" w:line="247" w:lineRule="auto"/>
            </w:pPr>
            <w:r>
              <w:rPr>
                <w:rFonts w:ascii="Calibri" w:hAnsi="Calibri"/>
                <w:b w:val="0"/>
                <w:i w:val="0"/>
                <w:color w:val="0B2545"/>
                <w:sz w:val="16"/>
              </w:rPr>
              <w:t>BR-SC-015</w:t>
            </w:r>
          </w:p>
        </w:tc>
        <w:tc>
          <w:tcPr>
            <w:tcW w:type="dxa" w:w="8010"/>
            <w:vAlign w:val="center"/>
            <w:tcMar>
              <w:top w:w="70" w:type="dxa"/>
              <w:bottom w:w="70" w:type="dxa"/>
              <w:start w:w="100" w:type="dxa"/>
              <w:end w:w="100" w:type="dxa"/>
            </w:tcMar>
          </w:tcPr>
          <w:p>
            <w:pPr>
              <w:spacing w:after="0" w:line="247" w:lineRule="auto"/>
            </w:pPr>
            <w:r>
              <w:rPr>
                <w:rFonts w:ascii="Calibri" w:hAnsi="Calibri"/>
                <w:b w:val="0"/>
                <w:i w:val="0"/>
                <w:color w:val="0B2545"/>
                <w:sz w:val="16"/>
              </w:rPr>
              <w:t>Version and freeze the exact scenario approved by the owner.</w:t>
            </w:r>
          </w:p>
        </w:tc>
      </w:tr>
      <w:tr>
        <w:trPr>
          <w:cantSplit/>
        </w:trPr>
        <w:tc>
          <w:tcPr>
            <w:tcW w:type="dxa" w:w="1350"/>
            <w:vAlign w:val="center"/>
            <w:tcMar>
              <w:top w:w="70" w:type="dxa"/>
              <w:bottom w:w="70" w:type="dxa"/>
              <w:start w:w="100" w:type="dxa"/>
              <w:end w:w="100" w:type="dxa"/>
            </w:tcMar>
          </w:tcPr>
          <w:p>
            <w:pPr>
              <w:spacing w:after="0" w:line="247" w:lineRule="auto"/>
            </w:pPr>
            <w:r>
              <w:rPr>
                <w:rFonts w:ascii="Calibri" w:hAnsi="Calibri"/>
                <w:b w:val="0"/>
                <w:i w:val="0"/>
                <w:color w:val="0B2545"/>
                <w:sz w:val="16"/>
              </w:rPr>
              <w:t>BR-SC-016</w:t>
            </w:r>
          </w:p>
        </w:tc>
        <w:tc>
          <w:tcPr>
            <w:tcW w:type="dxa" w:w="8010"/>
            <w:vAlign w:val="center"/>
            <w:tcMar>
              <w:top w:w="70" w:type="dxa"/>
              <w:bottom w:w="70" w:type="dxa"/>
              <w:start w:w="100" w:type="dxa"/>
              <w:end w:w="100" w:type="dxa"/>
            </w:tcMar>
          </w:tcPr>
          <w:p>
            <w:pPr>
              <w:spacing w:after="0" w:line="247" w:lineRule="auto"/>
            </w:pPr>
            <w:r>
              <w:rPr>
                <w:rFonts w:ascii="Calibri" w:hAnsi="Calibri"/>
                <w:b w:val="0"/>
                <w:i w:val="0"/>
                <w:color w:val="0B2545"/>
                <w:sz w:val="16"/>
              </w:rPr>
              <w:t>Capture each actual fill as an independent transaction event and link it to a scenario line/tranche.</w:t>
            </w:r>
          </w:p>
        </w:tc>
      </w:tr>
      <w:tr>
        <w:trPr>
          <w:cantSplit/>
        </w:trPr>
        <w:tc>
          <w:tcPr>
            <w:tcW w:type="dxa" w:w="1350"/>
            <w:vAlign w:val="center"/>
            <w:tcMar>
              <w:top w:w="70" w:type="dxa"/>
              <w:bottom w:w="70" w:type="dxa"/>
              <w:start w:w="100" w:type="dxa"/>
              <w:end w:w="100" w:type="dxa"/>
            </w:tcMar>
          </w:tcPr>
          <w:p>
            <w:pPr>
              <w:spacing w:after="0" w:line="247" w:lineRule="auto"/>
            </w:pPr>
            <w:r>
              <w:rPr>
                <w:rFonts w:ascii="Calibri" w:hAnsi="Calibri"/>
                <w:b w:val="0"/>
                <w:i w:val="0"/>
                <w:color w:val="0B2545"/>
                <w:sz w:val="16"/>
              </w:rPr>
              <w:t>BR-SC-017</w:t>
            </w:r>
          </w:p>
        </w:tc>
        <w:tc>
          <w:tcPr>
            <w:tcW w:type="dxa" w:w="8010"/>
            <w:vAlign w:val="center"/>
            <w:tcMar>
              <w:top w:w="70" w:type="dxa"/>
              <w:bottom w:w="70" w:type="dxa"/>
              <w:start w:w="100" w:type="dxa"/>
              <w:end w:w="100" w:type="dxa"/>
            </w:tcMar>
          </w:tcPr>
          <w:p>
            <w:pPr>
              <w:spacing w:after="0" w:line="247" w:lineRule="auto"/>
            </w:pPr>
            <w:r>
              <w:rPr>
                <w:rFonts w:ascii="Calibri" w:hAnsi="Calibri"/>
                <w:b w:val="0"/>
                <w:i w:val="0"/>
                <w:color w:val="0B2545"/>
                <w:sz w:val="16"/>
              </w:rPr>
              <w:t>Require reconciliation of actual fills to approved lots and purchases before completion.</w:t>
            </w:r>
          </w:p>
        </w:tc>
      </w:tr>
      <w:tr>
        <w:trPr>
          <w:cantSplit/>
        </w:trPr>
        <w:tc>
          <w:tcPr>
            <w:tcW w:type="dxa" w:w="1350"/>
            <w:vAlign w:val="center"/>
            <w:tcMar>
              <w:top w:w="70" w:type="dxa"/>
              <w:bottom w:w="70" w:type="dxa"/>
              <w:start w:w="100" w:type="dxa"/>
              <w:end w:w="100" w:type="dxa"/>
            </w:tcMar>
          </w:tcPr>
          <w:p>
            <w:pPr>
              <w:spacing w:after="0" w:line="247" w:lineRule="auto"/>
            </w:pPr>
            <w:r>
              <w:rPr>
                <w:rFonts w:ascii="Calibri" w:hAnsi="Calibri"/>
                <w:b w:val="0"/>
                <w:i w:val="0"/>
                <w:color w:val="0B2545"/>
                <w:sz w:val="16"/>
              </w:rPr>
              <w:t>BR-SC-018</w:t>
            </w:r>
          </w:p>
        </w:tc>
        <w:tc>
          <w:tcPr>
            <w:tcW w:type="dxa" w:w="8010"/>
            <w:vAlign w:val="center"/>
            <w:tcMar>
              <w:top w:w="70" w:type="dxa"/>
              <w:bottom w:w="70" w:type="dxa"/>
              <w:start w:w="100" w:type="dxa"/>
              <w:end w:w="100" w:type="dxa"/>
            </w:tcMar>
          </w:tcPr>
          <w:p>
            <w:pPr>
              <w:spacing w:after="0" w:line="247" w:lineRule="auto"/>
            </w:pPr>
            <w:r>
              <w:rPr>
                <w:rFonts w:ascii="Calibri" w:hAnsi="Calibri"/>
                <w:b w:val="0"/>
                <w:i w:val="0"/>
                <w:color w:val="0B2545"/>
                <w:sz w:val="16"/>
              </w:rPr>
              <w:t>Update Holdings, ROI, Income Plan and actual allocations from reconciled transactions once, without duplicate entry.</w:t>
            </w:r>
          </w:p>
        </w:tc>
      </w:tr>
      <w:tr>
        <w:trPr>
          <w:cantSplit/>
        </w:trPr>
        <w:tc>
          <w:tcPr>
            <w:tcW w:type="dxa" w:w="1350"/>
            <w:vAlign w:val="center"/>
            <w:tcMar>
              <w:top w:w="70" w:type="dxa"/>
              <w:bottom w:w="70" w:type="dxa"/>
              <w:start w:w="100" w:type="dxa"/>
              <w:end w:w="100" w:type="dxa"/>
            </w:tcMar>
          </w:tcPr>
          <w:p>
            <w:pPr>
              <w:spacing w:after="0" w:line="247" w:lineRule="auto"/>
            </w:pPr>
            <w:r>
              <w:rPr>
                <w:rFonts w:ascii="Calibri" w:hAnsi="Calibri"/>
                <w:b w:val="0"/>
                <w:i w:val="0"/>
                <w:color w:val="0B2545"/>
                <w:sz w:val="16"/>
              </w:rPr>
              <w:t>BR-SC-019</w:t>
            </w:r>
          </w:p>
        </w:tc>
        <w:tc>
          <w:tcPr>
            <w:tcW w:type="dxa" w:w="8010"/>
            <w:vAlign w:val="center"/>
            <w:tcMar>
              <w:top w:w="70" w:type="dxa"/>
              <w:bottom w:w="70" w:type="dxa"/>
              <w:start w:w="100" w:type="dxa"/>
              <w:end w:w="100" w:type="dxa"/>
            </w:tcMar>
          </w:tcPr>
          <w:p>
            <w:pPr>
              <w:spacing w:after="0" w:line="247" w:lineRule="auto"/>
            </w:pPr>
            <w:r>
              <w:rPr>
                <w:rFonts w:ascii="Calibri" w:hAnsi="Calibri"/>
                <w:b w:val="0"/>
                <w:i w:val="0"/>
                <w:color w:val="0B2545"/>
                <w:sz w:val="16"/>
              </w:rPr>
              <w:t>Keep draft or cancelled scenarios from changing actual portfolio or plan data.</w:t>
            </w:r>
          </w:p>
        </w:tc>
      </w:tr>
      <w:tr>
        <w:trPr>
          <w:cantSplit/>
        </w:trPr>
        <w:tc>
          <w:tcPr>
            <w:tcW w:type="dxa" w:w="1350"/>
            <w:vAlign w:val="center"/>
            <w:tcMar>
              <w:top w:w="70" w:type="dxa"/>
              <w:bottom w:w="70" w:type="dxa"/>
              <w:start w:w="100" w:type="dxa"/>
              <w:end w:w="100" w:type="dxa"/>
            </w:tcMar>
          </w:tcPr>
          <w:p>
            <w:pPr>
              <w:spacing w:after="0" w:line="247" w:lineRule="auto"/>
            </w:pPr>
            <w:r>
              <w:rPr>
                <w:rFonts w:ascii="Calibri" w:hAnsi="Calibri"/>
                <w:b w:val="0"/>
                <w:i w:val="0"/>
                <w:color w:val="0B2545"/>
                <w:sz w:val="16"/>
              </w:rPr>
              <w:t>BR-SC-020</w:t>
            </w:r>
          </w:p>
        </w:tc>
        <w:tc>
          <w:tcPr>
            <w:tcW w:type="dxa" w:w="8010"/>
            <w:vAlign w:val="center"/>
            <w:tcMar>
              <w:top w:w="70" w:type="dxa"/>
              <w:bottom w:w="70" w:type="dxa"/>
              <w:start w:w="100" w:type="dxa"/>
              <w:end w:w="100" w:type="dxa"/>
            </w:tcMar>
          </w:tcPr>
          <w:p>
            <w:pPr>
              <w:spacing w:after="0" w:line="247" w:lineRule="auto"/>
            </w:pPr>
            <w:r>
              <w:rPr>
                <w:rFonts w:ascii="Calibri" w:hAnsi="Calibri"/>
                <w:b w:val="0"/>
                <w:i w:val="0"/>
                <w:color w:val="0B2545"/>
                <w:sz w:val="16"/>
              </w:rPr>
              <w:t>Calculate cumulative realized swap P/L from the ledger, never from hardcoded scenario-cell references.</w:t>
            </w:r>
          </w:p>
        </w:tc>
      </w:tr>
      <w:tr>
        <w:trPr>
          <w:cantSplit/>
        </w:trPr>
        <w:tc>
          <w:tcPr>
            <w:tcW w:type="dxa" w:w="1350"/>
            <w:vAlign w:val="center"/>
            <w:tcMar>
              <w:top w:w="70" w:type="dxa"/>
              <w:bottom w:w="70" w:type="dxa"/>
              <w:start w:w="100" w:type="dxa"/>
              <w:end w:w="100" w:type="dxa"/>
            </w:tcMar>
          </w:tcPr>
          <w:p>
            <w:pPr>
              <w:spacing w:after="0" w:line="247" w:lineRule="auto"/>
            </w:pPr>
            <w:r>
              <w:rPr>
                <w:rFonts w:ascii="Calibri" w:hAnsi="Calibri"/>
                <w:b w:val="0"/>
                <w:i w:val="0"/>
                <w:color w:val="0B2545"/>
                <w:sz w:val="16"/>
              </w:rPr>
              <w:t>BR-SC-021</w:t>
            </w:r>
          </w:p>
        </w:tc>
        <w:tc>
          <w:tcPr>
            <w:tcW w:type="dxa" w:w="8010"/>
            <w:vAlign w:val="center"/>
            <w:tcMar>
              <w:top w:w="70" w:type="dxa"/>
              <w:bottom w:w="70" w:type="dxa"/>
              <w:start w:w="100" w:type="dxa"/>
              <w:end w:w="100" w:type="dxa"/>
            </w:tcMar>
          </w:tcPr>
          <w:p>
            <w:pPr>
              <w:spacing w:after="0" w:line="247" w:lineRule="auto"/>
            </w:pPr>
            <w:r>
              <w:rPr>
                <w:rFonts w:ascii="Calibri" w:hAnsi="Calibri"/>
                <w:b w:val="0"/>
                <w:i w:val="0"/>
                <w:color w:val="0B2545"/>
                <w:sz w:val="16"/>
              </w:rPr>
              <w:t>Keep actual price paid as performance basis and distributions received as separate performance components.</w:t>
            </w:r>
          </w:p>
        </w:tc>
      </w:tr>
      <w:tr>
        <w:trPr>
          <w:cantSplit/>
        </w:trPr>
        <w:tc>
          <w:tcPr>
            <w:tcW w:type="dxa" w:w="1350"/>
            <w:vAlign w:val="center"/>
            <w:tcMar>
              <w:top w:w="70" w:type="dxa"/>
              <w:bottom w:w="70" w:type="dxa"/>
              <w:start w:w="100" w:type="dxa"/>
              <w:end w:w="100" w:type="dxa"/>
            </w:tcMar>
          </w:tcPr>
          <w:p>
            <w:pPr>
              <w:spacing w:after="0" w:line="247" w:lineRule="auto"/>
            </w:pPr>
            <w:r>
              <w:rPr>
                <w:rFonts w:ascii="Calibri" w:hAnsi="Calibri"/>
                <w:b w:val="0"/>
                <w:i w:val="0"/>
                <w:color w:val="0B2545"/>
                <w:sz w:val="16"/>
              </w:rPr>
              <w:t>BR-SC-022</w:t>
            </w:r>
          </w:p>
        </w:tc>
        <w:tc>
          <w:tcPr>
            <w:tcW w:type="dxa" w:w="8010"/>
            <w:vAlign w:val="center"/>
            <w:tcMar>
              <w:top w:w="70" w:type="dxa"/>
              <w:bottom w:w="70" w:type="dxa"/>
              <w:start w:w="100" w:type="dxa"/>
              <w:end w:w="100" w:type="dxa"/>
            </w:tcMar>
          </w:tcPr>
          <w:p>
            <w:pPr>
              <w:spacing w:after="0" w:line="247" w:lineRule="auto"/>
            </w:pPr>
            <w:r>
              <w:rPr>
                <w:rFonts w:ascii="Calibri" w:hAnsi="Calibri"/>
                <w:b w:val="0"/>
                <w:i w:val="0"/>
                <w:color w:val="0B2545"/>
                <w:sz w:val="16"/>
              </w:rPr>
              <w:t>Never add realized swap losses to replacement-position cost basis.</w:t>
            </w:r>
          </w:p>
        </w:tc>
      </w:tr>
      <w:tr>
        <w:trPr>
          <w:cantSplit/>
        </w:trPr>
        <w:tc>
          <w:tcPr>
            <w:tcW w:type="dxa" w:w="1350"/>
            <w:vAlign w:val="center"/>
            <w:tcMar>
              <w:top w:w="70" w:type="dxa"/>
              <w:bottom w:w="70" w:type="dxa"/>
              <w:start w:w="100" w:type="dxa"/>
              <w:end w:w="100" w:type="dxa"/>
            </w:tcMar>
          </w:tcPr>
          <w:p>
            <w:pPr>
              <w:spacing w:after="0" w:line="247" w:lineRule="auto"/>
            </w:pPr>
            <w:r>
              <w:rPr>
                <w:rFonts w:ascii="Calibri" w:hAnsi="Calibri"/>
                <w:b w:val="0"/>
                <w:i w:val="0"/>
                <w:color w:val="0B2545"/>
                <w:sz w:val="16"/>
              </w:rPr>
              <w:t>BR-SC-023</w:t>
            </w:r>
          </w:p>
        </w:tc>
        <w:tc>
          <w:tcPr>
            <w:tcW w:type="dxa" w:w="8010"/>
            <w:vAlign w:val="center"/>
            <w:tcMar>
              <w:top w:w="70" w:type="dxa"/>
              <w:bottom w:w="70" w:type="dxa"/>
              <w:start w:w="100" w:type="dxa"/>
              <w:end w:w="100" w:type="dxa"/>
            </w:tcMar>
          </w:tcPr>
          <w:p>
            <w:pPr>
              <w:spacing w:after="0" w:line="247" w:lineRule="auto"/>
            </w:pPr>
            <w:r>
              <w:rPr>
                <w:rFonts w:ascii="Calibri" w:hAnsi="Calibri"/>
                <w:b w:val="0"/>
                <w:i w:val="0"/>
                <w:color w:val="0B2545"/>
                <w:sz w:val="16"/>
              </w:rPr>
              <w:t>Calculate and explain income break-even comparisons without representing losses as recovered.</w:t>
            </w:r>
          </w:p>
        </w:tc>
      </w:tr>
      <w:tr>
        <w:trPr>
          <w:cantSplit/>
        </w:trPr>
        <w:tc>
          <w:tcPr>
            <w:tcW w:type="dxa" w:w="1350"/>
            <w:vAlign w:val="center"/>
            <w:tcMar>
              <w:top w:w="70" w:type="dxa"/>
              <w:bottom w:w="70" w:type="dxa"/>
              <w:start w:w="100" w:type="dxa"/>
              <w:end w:w="100" w:type="dxa"/>
            </w:tcMar>
          </w:tcPr>
          <w:p>
            <w:pPr>
              <w:spacing w:after="0" w:line="247" w:lineRule="auto"/>
            </w:pPr>
            <w:r>
              <w:rPr>
                <w:rFonts w:ascii="Calibri" w:hAnsi="Calibri"/>
                <w:b w:val="0"/>
                <w:i w:val="0"/>
                <w:color w:val="0B2545"/>
                <w:sz w:val="16"/>
              </w:rPr>
              <w:t>BR-SC-024</w:t>
            </w:r>
          </w:p>
        </w:tc>
        <w:tc>
          <w:tcPr>
            <w:tcW w:type="dxa" w:w="8010"/>
            <w:vAlign w:val="center"/>
            <w:tcMar>
              <w:top w:w="70" w:type="dxa"/>
              <w:bottom w:w="70" w:type="dxa"/>
              <w:start w:w="100" w:type="dxa"/>
              <w:end w:w="100" w:type="dxa"/>
            </w:tcMar>
          </w:tcPr>
          <w:p>
            <w:pPr>
              <w:spacing w:after="0" w:line="247" w:lineRule="auto"/>
            </w:pPr>
            <w:r>
              <w:rPr>
                <w:rFonts w:ascii="Calibri" w:hAnsi="Calibri"/>
                <w:b w:val="0"/>
                <w:i w:val="0"/>
                <w:color w:val="0B2545"/>
                <w:sz w:val="16"/>
              </w:rPr>
              <w:t>Apply confirmed symbol changes everywhere through canonical security identity and retain an audit trail.</w:t>
            </w:r>
          </w:p>
        </w:tc>
      </w:tr>
      <w:tr>
        <w:trPr>
          <w:cantSplit/>
        </w:trPr>
        <w:tc>
          <w:tcPr>
            <w:tcW w:type="dxa" w:w="1350"/>
            <w:vAlign w:val="center"/>
            <w:tcMar>
              <w:top w:w="70" w:type="dxa"/>
              <w:bottom w:w="70" w:type="dxa"/>
              <w:start w:w="100" w:type="dxa"/>
              <w:end w:w="100" w:type="dxa"/>
            </w:tcMar>
          </w:tcPr>
          <w:p>
            <w:pPr>
              <w:spacing w:after="0" w:line="247" w:lineRule="auto"/>
            </w:pPr>
            <w:r>
              <w:rPr>
                <w:rFonts w:ascii="Calibri" w:hAnsi="Calibri"/>
                <w:b w:val="0"/>
                <w:i w:val="0"/>
                <w:color w:val="0B2545"/>
                <w:sz w:val="16"/>
              </w:rPr>
              <w:t>BR-SC-025</w:t>
            </w:r>
          </w:p>
        </w:tc>
        <w:tc>
          <w:tcPr>
            <w:tcW w:type="dxa" w:w="8010"/>
            <w:vAlign w:val="center"/>
            <w:tcMar>
              <w:top w:w="70" w:type="dxa"/>
              <w:bottom w:w="70" w:type="dxa"/>
              <w:start w:w="100" w:type="dxa"/>
              <w:end w:w="100" w:type="dxa"/>
            </w:tcMar>
          </w:tcPr>
          <w:p>
            <w:pPr>
              <w:spacing w:after="0" w:line="247" w:lineRule="auto"/>
            </w:pPr>
            <w:r>
              <w:rPr>
                <w:rFonts w:ascii="Calibri" w:hAnsi="Calibri"/>
                <w:b w:val="0"/>
                <w:i w:val="0"/>
                <w:color w:val="0B2545"/>
                <w:sz w:val="16"/>
              </w:rPr>
              <w:t>Maintain an audit log for approvals, overrides, automated actions, matches, corrections and completion.</w:t>
            </w:r>
          </w:p>
        </w:tc>
      </w:tr>
    </w:tbl>
    <w:p>
      <w:pPr>
        <w:spacing w:after="20"/>
      </w:pPr>
    </w:p>
    <w:p>
      <w:pPr>
        <w:pStyle w:val="Heading1"/>
      </w:pPr>
      <w:r>
        <w:t>15. Validation and Warning Rules</w:t>
      </w:r>
    </w:p>
    <w:tbl>
      <w:tblPr>
        <w:tblStyle w:val="TableGrid"/>
        <w:tblW w:type="dxa" w:w="9360"/>
        <w:jc w:val="left"/>
        <w:tblLayout w:type="fixed"/>
        <w:tblLook w:firstColumn="1" w:firstRow="1" w:lastColumn="0" w:lastRow="0" w:noHBand="0" w:noVBand="1" w:val="04A0"/>
      </w:tblPr>
      <w:tblGrid>
        <w:gridCol w:w="3150"/>
        <w:gridCol w:w="1500"/>
        <w:gridCol w:w="4710"/>
      </w:tblGrid>
      <w:tr>
        <w:trPr>
          <w:tblHeader w:val="true"/>
          <w:cantSplit/>
        </w:trPr>
        <w:tc>
          <w:tcPr>
            <w:tcW w:type="dxa" w:w="3150"/>
            <w:shd w:fill="F2F4F7"/>
            <w:vAlign w:val="center"/>
            <w:tcMar>
              <w:top w:w="70" w:type="dxa"/>
              <w:bottom w:w="70" w:type="dxa"/>
              <w:start w:w="100" w:type="dxa"/>
              <w:end w:w="100" w:type="dxa"/>
            </w:tcMar>
          </w:tcPr>
          <w:p>
            <w:pPr>
              <w:spacing w:after="0"/>
            </w:pPr>
            <w:r>
              <w:rPr>
                <w:rFonts w:ascii="Calibri" w:hAnsi="Calibri"/>
                <w:b/>
                <w:i w:val="0"/>
                <w:color w:val="0B2545"/>
                <w:sz w:val="16"/>
              </w:rPr>
              <w:t>Rule</w:t>
            </w:r>
          </w:p>
        </w:tc>
        <w:tc>
          <w:tcPr>
            <w:tcW w:type="dxa" w:w="1500"/>
            <w:shd w:fill="F2F4F7"/>
            <w:vAlign w:val="center"/>
            <w:tcMar>
              <w:top w:w="70" w:type="dxa"/>
              <w:bottom w:w="70" w:type="dxa"/>
              <w:start w:w="100" w:type="dxa"/>
              <w:end w:w="100" w:type="dxa"/>
            </w:tcMar>
          </w:tcPr>
          <w:p>
            <w:pPr>
              <w:spacing w:after="0"/>
            </w:pPr>
            <w:r>
              <w:rPr>
                <w:rFonts w:ascii="Calibri" w:hAnsi="Calibri"/>
                <w:b/>
                <w:i w:val="0"/>
                <w:color w:val="0B2545"/>
                <w:sz w:val="16"/>
              </w:rPr>
              <w:t>Severity</w:t>
            </w:r>
          </w:p>
        </w:tc>
        <w:tc>
          <w:tcPr>
            <w:tcW w:type="dxa" w:w="4710"/>
            <w:shd w:fill="F2F4F7"/>
            <w:vAlign w:val="center"/>
            <w:tcMar>
              <w:top w:w="70" w:type="dxa"/>
              <w:bottom w:w="70" w:type="dxa"/>
              <w:start w:w="100" w:type="dxa"/>
              <w:end w:w="100" w:type="dxa"/>
            </w:tcMar>
          </w:tcPr>
          <w:p>
            <w:pPr>
              <w:spacing w:after="0"/>
            </w:pPr>
            <w:r>
              <w:rPr>
                <w:rFonts w:ascii="Calibri" w:hAnsi="Calibri"/>
                <w:b/>
                <w:i w:val="0"/>
                <w:color w:val="0B2545"/>
                <w:sz w:val="16"/>
              </w:rPr>
              <w:t>Required behavior</w:t>
            </w:r>
          </w:p>
        </w:tc>
      </w:tr>
      <w:tr>
        <w:trPr>
          <w:cantSplit/>
        </w:trPr>
        <w:tc>
          <w:tcPr>
            <w:tcW w:type="dxa" w:w="3150"/>
            <w:vAlign w:val="center"/>
            <w:tcMar>
              <w:top w:w="70" w:type="dxa"/>
              <w:bottom w:w="70" w:type="dxa"/>
              <w:start w:w="100" w:type="dxa"/>
              <w:end w:w="100" w:type="dxa"/>
            </w:tcMar>
          </w:tcPr>
          <w:p>
            <w:pPr>
              <w:spacing w:after="0" w:line="247" w:lineRule="auto"/>
            </w:pPr>
            <w:r>
              <w:rPr>
                <w:rFonts w:ascii="Calibri" w:hAnsi="Calibri"/>
                <w:b w:val="0"/>
                <w:i w:val="0"/>
                <w:color w:val="0B2545"/>
                <w:sz w:val="16"/>
              </w:rPr>
              <w:t>Missing/invalid account, security or quantity</w:t>
            </w:r>
          </w:p>
        </w:tc>
        <w:tc>
          <w:tcPr>
            <w:tcW w:type="dxa" w:w="1500"/>
            <w:vAlign w:val="center"/>
            <w:tcMar>
              <w:top w:w="70" w:type="dxa"/>
              <w:bottom w:w="70" w:type="dxa"/>
              <w:start w:w="100" w:type="dxa"/>
              <w:end w:w="100" w:type="dxa"/>
            </w:tcMar>
          </w:tcPr>
          <w:p>
            <w:pPr>
              <w:spacing w:after="0" w:line="247" w:lineRule="auto"/>
            </w:pPr>
            <w:r>
              <w:rPr>
                <w:rFonts w:ascii="Calibri" w:hAnsi="Calibri"/>
                <w:b w:val="0"/>
                <w:i w:val="0"/>
                <w:color w:val="0B2545"/>
                <w:sz w:val="16"/>
              </w:rPr>
              <w:t>Block</w:t>
            </w:r>
          </w:p>
        </w:tc>
        <w:tc>
          <w:tcPr>
            <w:tcW w:type="dxa" w:w="4710"/>
            <w:vAlign w:val="center"/>
            <w:tcMar>
              <w:top w:w="70" w:type="dxa"/>
              <w:bottom w:w="70" w:type="dxa"/>
              <w:start w:w="100" w:type="dxa"/>
              <w:end w:w="100" w:type="dxa"/>
            </w:tcMar>
          </w:tcPr>
          <w:p>
            <w:pPr>
              <w:spacing w:after="0" w:line="247" w:lineRule="auto"/>
            </w:pPr>
            <w:r>
              <w:rPr>
                <w:rFonts w:ascii="Calibri" w:hAnsi="Calibri"/>
                <w:b w:val="0"/>
                <w:i w:val="0"/>
                <w:color w:val="0B2545"/>
                <w:sz w:val="16"/>
              </w:rPr>
              <w:t>Cannot calculate or approve.</w:t>
            </w:r>
          </w:p>
        </w:tc>
      </w:tr>
      <w:tr>
        <w:trPr>
          <w:cantSplit/>
        </w:trPr>
        <w:tc>
          <w:tcPr>
            <w:tcW w:type="dxa" w:w="3150"/>
            <w:vAlign w:val="center"/>
            <w:tcMar>
              <w:top w:w="70" w:type="dxa"/>
              <w:bottom w:w="70" w:type="dxa"/>
              <w:start w:w="100" w:type="dxa"/>
              <w:end w:w="100" w:type="dxa"/>
            </w:tcMar>
          </w:tcPr>
          <w:p>
            <w:pPr>
              <w:spacing w:after="0" w:line="247" w:lineRule="auto"/>
            </w:pPr>
            <w:r>
              <w:rPr>
                <w:rFonts w:ascii="Calibri" w:hAnsi="Calibri"/>
                <w:b w:val="0"/>
                <w:i w:val="0"/>
                <w:color w:val="0B2545"/>
                <w:sz w:val="16"/>
              </w:rPr>
              <w:t>Sale quantity exceeds open lot quantity</w:t>
            </w:r>
          </w:p>
        </w:tc>
        <w:tc>
          <w:tcPr>
            <w:tcW w:type="dxa" w:w="1500"/>
            <w:vAlign w:val="center"/>
            <w:tcMar>
              <w:top w:w="70" w:type="dxa"/>
              <w:bottom w:w="70" w:type="dxa"/>
              <w:start w:w="100" w:type="dxa"/>
              <w:end w:w="100" w:type="dxa"/>
            </w:tcMar>
          </w:tcPr>
          <w:p>
            <w:pPr>
              <w:spacing w:after="0" w:line="247" w:lineRule="auto"/>
            </w:pPr>
            <w:r>
              <w:rPr>
                <w:rFonts w:ascii="Calibri" w:hAnsi="Calibri"/>
                <w:b w:val="0"/>
                <w:i w:val="0"/>
                <w:color w:val="0B2545"/>
                <w:sz w:val="16"/>
              </w:rPr>
              <w:t>Block</w:t>
            </w:r>
          </w:p>
        </w:tc>
        <w:tc>
          <w:tcPr>
            <w:tcW w:type="dxa" w:w="4710"/>
            <w:vAlign w:val="center"/>
            <w:tcMar>
              <w:top w:w="70" w:type="dxa"/>
              <w:bottom w:w="70" w:type="dxa"/>
              <w:start w:w="100" w:type="dxa"/>
              <w:end w:w="100" w:type="dxa"/>
            </w:tcMar>
          </w:tcPr>
          <w:p>
            <w:pPr>
              <w:spacing w:after="0" w:line="247" w:lineRule="auto"/>
            </w:pPr>
            <w:r>
              <w:rPr>
                <w:rFonts w:ascii="Calibri" w:hAnsi="Calibri"/>
                <w:b w:val="0"/>
                <w:i w:val="0"/>
                <w:color w:val="0B2545"/>
                <w:sz w:val="16"/>
              </w:rPr>
              <w:t>Reject selection and identify the lot.</w:t>
            </w:r>
          </w:p>
        </w:tc>
      </w:tr>
      <w:tr>
        <w:trPr>
          <w:cantSplit/>
        </w:trPr>
        <w:tc>
          <w:tcPr>
            <w:tcW w:type="dxa" w:w="3150"/>
            <w:vAlign w:val="center"/>
            <w:tcMar>
              <w:top w:w="70" w:type="dxa"/>
              <w:bottom w:w="70" w:type="dxa"/>
              <w:start w:w="100" w:type="dxa"/>
              <w:end w:w="100" w:type="dxa"/>
            </w:tcMar>
          </w:tcPr>
          <w:p>
            <w:pPr>
              <w:spacing w:after="0" w:line="247" w:lineRule="auto"/>
            </w:pPr>
            <w:r>
              <w:rPr>
                <w:rFonts w:ascii="Calibri" w:hAnsi="Calibri"/>
                <w:b w:val="0"/>
                <w:i w:val="0"/>
                <w:color w:val="0B2545"/>
                <w:sz w:val="16"/>
              </w:rPr>
              <w:t>Purchase spend exceeds available funds</w:t>
            </w:r>
          </w:p>
        </w:tc>
        <w:tc>
          <w:tcPr>
            <w:tcW w:type="dxa" w:w="1500"/>
            <w:vAlign w:val="center"/>
            <w:tcMar>
              <w:top w:w="70" w:type="dxa"/>
              <w:bottom w:w="70" w:type="dxa"/>
              <w:start w:w="100" w:type="dxa"/>
              <w:end w:w="100" w:type="dxa"/>
            </w:tcMar>
          </w:tcPr>
          <w:p>
            <w:pPr>
              <w:spacing w:after="0" w:line="247" w:lineRule="auto"/>
            </w:pPr>
            <w:r>
              <w:rPr>
                <w:rFonts w:ascii="Calibri" w:hAnsi="Calibri"/>
                <w:b w:val="0"/>
                <w:i w:val="0"/>
                <w:color w:val="0B2545"/>
                <w:sz w:val="16"/>
              </w:rPr>
              <w:t>Block unless funded</w:t>
            </w:r>
          </w:p>
        </w:tc>
        <w:tc>
          <w:tcPr>
            <w:tcW w:type="dxa" w:w="4710"/>
            <w:vAlign w:val="center"/>
            <w:tcMar>
              <w:top w:w="70" w:type="dxa"/>
              <w:bottom w:w="70" w:type="dxa"/>
              <w:start w:w="100" w:type="dxa"/>
              <w:end w:w="100" w:type="dxa"/>
            </w:tcMar>
          </w:tcPr>
          <w:p>
            <w:pPr>
              <w:spacing w:after="0" w:line="247" w:lineRule="auto"/>
            </w:pPr>
            <w:r>
              <w:rPr>
                <w:rFonts w:ascii="Calibri" w:hAnsi="Calibri"/>
                <w:b w:val="0"/>
                <w:i w:val="0"/>
                <w:color w:val="0B2545"/>
                <w:sz w:val="16"/>
              </w:rPr>
              <w:t>Require additional explicit funding or reduce purchases.</w:t>
            </w:r>
          </w:p>
        </w:tc>
      </w:tr>
      <w:tr>
        <w:trPr>
          <w:cantSplit/>
        </w:trPr>
        <w:tc>
          <w:tcPr>
            <w:tcW w:type="dxa" w:w="3150"/>
            <w:vAlign w:val="center"/>
            <w:tcMar>
              <w:top w:w="70" w:type="dxa"/>
              <w:bottom w:w="70" w:type="dxa"/>
              <w:start w:w="100" w:type="dxa"/>
              <w:end w:w="100" w:type="dxa"/>
            </w:tcMar>
          </w:tcPr>
          <w:p>
            <w:pPr>
              <w:spacing w:after="0" w:line="247" w:lineRule="auto"/>
            </w:pPr>
            <w:r>
              <w:rPr>
                <w:rFonts w:ascii="Calibri" w:hAnsi="Calibri"/>
                <w:b w:val="0"/>
                <w:i w:val="0"/>
                <w:color w:val="0B2545"/>
                <w:sz w:val="16"/>
              </w:rPr>
              <w:t>Price unavailable or beyond configured age</w:t>
            </w:r>
          </w:p>
        </w:tc>
        <w:tc>
          <w:tcPr>
            <w:tcW w:type="dxa" w:w="1500"/>
            <w:vAlign w:val="center"/>
            <w:tcMar>
              <w:top w:w="70" w:type="dxa"/>
              <w:bottom w:w="70" w:type="dxa"/>
              <w:start w:w="100" w:type="dxa"/>
              <w:end w:w="100" w:type="dxa"/>
            </w:tcMar>
          </w:tcPr>
          <w:p>
            <w:pPr>
              <w:spacing w:after="0" w:line="247" w:lineRule="auto"/>
            </w:pPr>
            <w:r>
              <w:rPr>
                <w:rFonts w:ascii="Calibri" w:hAnsi="Calibri"/>
                <w:b w:val="0"/>
                <w:i w:val="0"/>
                <w:color w:val="0B2545"/>
                <w:sz w:val="16"/>
              </w:rPr>
              <w:t>Warn or block by age</w:t>
            </w:r>
          </w:p>
        </w:tc>
        <w:tc>
          <w:tcPr>
            <w:tcW w:type="dxa" w:w="4710"/>
            <w:vAlign w:val="center"/>
            <w:tcMar>
              <w:top w:w="70" w:type="dxa"/>
              <w:bottom w:w="70" w:type="dxa"/>
              <w:start w:w="100" w:type="dxa"/>
              <w:end w:w="100" w:type="dxa"/>
            </w:tcMar>
          </w:tcPr>
          <w:p>
            <w:pPr>
              <w:spacing w:after="0" w:line="247" w:lineRule="auto"/>
            </w:pPr>
            <w:r>
              <w:rPr>
                <w:rFonts w:ascii="Calibri" w:hAnsi="Calibri"/>
                <w:b w:val="0"/>
                <w:i w:val="0"/>
                <w:color w:val="0B2545"/>
                <w:sz w:val="16"/>
              </w:rPr>
              <w:t>Show timestamp/source and require refresh or override within policy.</w:t>
            </w:r>
          </w:p>
        </w:tc>
      </w:tr>
      <w:tr>
        <w:trPr>
          <w:cantSplit/>
        </w:trPr>
        <w:tc>
          <w:tcPr>
            <w:tcW w:type="dxa" w:w="3150"/>
            <w:vAlign w:val="center"/>
            <w:tcMar>
              <w:top w:w="70" w:type="dxa"/>
              <w:bottom w:w="70" w:type="dxa"/>
              <w:start w:w="100" w:type="dxa"/>
              <w:end w:w="100" w:type="dxa"/>
            </w:tcMar>
          </w:tcPr>
          <w:p>
            <w:pPr>
              <w:spacing w:after="0" w:line="247" w:lineRule="auto"/>
            </w:pPr>
            <w:r>
              <w:rPr>
                <w:rFonts w:ascii="Calibri" w:hAnsi="Calibri"/>
                <w:b w:val="0"/>
                <w:i w:val="0"/>
                <w:color w:val="0B2545"/>
                <w:sz w:val="16"/>
              </w:rPr>
              <w:t>Dividend plan missing or low confidence</w:t>
            </w:r>
          </w:p>
        </w:tc>
        <w:tc>
          <w:tcPr>
            <w:tcW w:type="dxa" w:w="1500"/>
            <w:vAlign w:val="center"/>
            <w:tcMar>
              <w:top w:w="70" w:type="dxa"/>
              <w:bottom w:w="70" w:type="dxa"/>
              <w:start w:w="100" w:type="dxa"/>
              <w:end w:w="100" w:type="dxa"/>
            </w:tcMar>
          </w:tcPr>
          <w:p>
            <w:pPr>
              <w:spacing w:after="0" w:line="247" w:lineRule="auto"/>
            </w:pPr>
            <w:r>
              <w:rPr>
                <w:rFonts w:ascii="Calibri" w:hAnsi="Calibri"/>
                <w:b w:val="0"/>
                <w:i w:val="0"/>
                <w:color w:val="0B2545"/>
                <w:sz w:val="16"/>
              </w:rPr>
              <w:t>Warn</w:t>
            </w:r>
          </w:p>
        </w:tc>
        <w:tc>
          <w:tcPr>
            <w:tcW w:type="dxa" w:w="4710"/>
            <w:vAlign w:val="center"/>
            <w:tcMar>
              <w:top w:w="70" w:type="dxa"/>
              <w:bottom w:w="70" w:type="dxa"/>
              <w:start w:w="100" w:type="dxa"/>
              <w:end w:w="100" w:type="dxa"/>
            </w:tcMar>
          </w:tcPr>
          <w:p>
            <w:pPr>
              <w:spacing w:after="0" w:line="247" w:lineRule="auto"/>
            </w:pPr>
            <w:r>
              <w:rPr>
                <w:rFonts w:ascii="Calibri" w:hAnsi="Calibri"/>
                <w:b w:val="0"/>
                <w:i w:val="0"/>
                <w:color w:val="0B2545"/>
                <w:sz w:val="16"/>
              </w:rPr>
              <w:t>Show no invented income; require acknowledgement if approved.</w:t>
            </w:r>
          </w:p>
        </w:tc>
      </w:tr>
      <w:tr>
        <w:trPr>
          <w:cantSplit/>
        </w:trPr>
        <w:tc>
          <w:tcPr>
            <w:tcW w:type="dxa" w:w="3150"/>
            <w:vAlign w:val="center"/>
            <w:tcMar>
              <w:top w:w="70" w:type="dxa"/>
              <w:bottom w:w="70" w:type="dxa"/>
              <w:start w:w="100" w:type="dxa"/>
              <w:end w:w="100" w:type="dxa"/>
            </w:tcMar>
          </w:tcPr>
          <w:p>
            <w:pPr>
              <w:spacing w:after="0" w:line="247" w:lineRule="auto"/>
            </w:pPr>
            <w:r>
              <w:rPr>
                <w:rFonts w:ascii="Calibri" w:hAnsi="Calibri"/>
                <w:b w:val="0"/>
                <w:i w:val="0"/>
                <w:color w:val="0B2545"/>
                <w:sz w:val="16"/>
              </w:rPr>
              <w:t>Classification/underlying missing</w:t>
            </w:r>
          </w:p>
        </w:tc>
        <w:tc>
          <w:tcPr>
            <w:tcW w:type="dxa" w:w="1500"/>
            <w:vAlign w:val="center"/>
            <w:tcMar>
              <w:top w:w="70" w:type="dxa"/>
              <w:bottom w:w="70" w:type="dxa"/>
              <w:start w:w="100" w:type="dxa"/>
              <w:end w:w="100" w:type="dxa"/>
            </w:tcMar>
          </w:tcPr>
          <w:p>
            <w:pPr>
              <w:spacing w:after="0" w:line="247" w:lineRule="auto"/>
            </w:pPr>
            <w:r>
              <w:rPr>
                <w:rFonts w:ascii="Calibri" w:hAnsi="Calibri"/>
                <w:b w:val="0"/>
                <w:i w:val="0"/>
                <w:color w:val="0B2545"/>
                <w:sz w:val="16"/>
              </w:rPr>
              <w:t>Warn</w:t>
            </w:r>
          </w:p>
        </w:tc>
        <w:tc>
          <w:tcPr>
            <w:tcW w:type="dxa" w:w="4710"/>
            <w:vAlign w:val="center"/>
            <w:tcMar>
              <w:top w:w="70" w:type="dxa"/>
              <w:bottom w:w="70" w:type="dxa"/>
              <w:start w:w="100" w:type="dxa"/>
              <w:end w:w="100" w:type="dxa"/>
            </w:tcMar>
          </w:tcPr>
          <w:p>
            <w:pPr>
              <w:spacing w:after="0" w:line="247" w:lineRule="auto"/>
            </w:pPr>
            <w:r>
              <w:rPr>
                <w:rFonts w:ascii="Calibri" w:hAnsi="Calibri"/>
                <w:b w:val="0"/>
                <w:i w:val="0"/>
                <w:color w:val="0B2545"/>
                <w:sz w:val="16"/>
              </w:rPr>
              <w:t>Allocation and concentration results marked incomplete.</w:t>
            </w:r>
          </w:p>
        </w:tc>
      </w:tr>
      <w:tr>
        <w:trPr>
          <w:cantSplit/>
        </w:trPr>
        <w:tc>
          <w:tcPr>
            <w:tcW w:type="dxa" w:w="3150"/>
            <w:vAlign w:val="center"/>
            <w:tcMar>
              <w:top w:w="70" w:type="dxa"/>
              <w:bottom w:w="70" w:type="dxa"/>
              <w:start w:w="100" w:type="dxa"/>
              <w:end w:w="100" w:type="dxa"/>
            </w:tcMar>
          </w:tcPr>
          <w:p>
            <w:pPr>
              <w:spacing w:after="0" w:line="247" w:lineRule="auto"/>
            </w:pPr>
            <w:r>
              <w:rPr>
                <w:rFonts w:ascii="Calibri" w:hAnsi="Calibri"/>
                <w:b w:val="0"/>
                <w:i w:val="0"/>
                <w:color w:val="0B2545"/>
                <w:sz w:val="16"/>
              </w:rPr>
              <w:t>Allocation distance worsens</w:t>
            </w:r>
          </w:p>
        </w:tc>
        <w:tc>
          <w:tcPr>
            <w:tcW w:type="dxa" w:w="1500"/>
            <w:vAlign w:val="center"/>
            <w:tcMar>
              <w:top w:w="70" w:type="dxa"/>
              <w:bottom w:w="70" w:type="dxa"/>
              <w:start w:w="100" w:type="dxa"/>
              <w:end w:w="100" w:type="dxa"/>
            </w:tcMar>
          </w:tcPr>
          <w:p>
            <w:pPr>
              <w:spacing w:after="0" w:line="247" w:lineRule="auto"/>
            </w:pPr>
            <w:r>
              <w:rPr>
                <w:rFonts w:ascii="Calibri" w:hAnsi="Calibri"/>
                <w:b w:val="0"/>
                <w:i w:val="0"/>
                <w:color w:val="0B2545"/>
                <w:sz w:val="16"/>
              </w:rPr>
              <w:t>Warn</w:t>
            </w:r>
          </w:p>
        </w:tc>
        <w:tc>
          <w:tcPr>
            <w:tcW w:type="dxa" w:w="4710"/>
            <w:vAlign w:val="center"/>
            <w:tcMar>
              <w:top w:w="70" w:type="dxa"/>
              <w:bottom w:w="70" w:type="dxa"/>
              <w:start w:w="100" w:type="dxa"/>
              <w:end w:w="100" w:type="dxa"/>
            </w:tcMar>
          </w:tcPr>
          <w:p>
            <w:pPr>
              <w:spacing w:after="0" w:line="247" w:lineRule="auto"/>
            </w:pPr>
            <w:r>
              <w:rPr>
                <w:rFonts w:ascii="Calibri" w:hAnsi="Calibri"/>
                <w:b w:val="0"/>
                <w:i w:val="0"/>
                <w:color w:val="0B2545"/>
                <w:sz w:val="16"/>
              </w:rPr>
              <w:t>Show before/after values and require override reason.</w:t>
            </w:r>
          </w:p>
        </w:tc>
      </w:tr>
      <w:tr>
        <w:trPr>
          <w:cantSplit/>
        </w:trPr>
        <w:tc>
          <w:tcPr>
            <w:tcW w:type="dxa" w:w="3150"/>
            <w:vAlign w:val="center"/>
            <w:tcMar>
              <w:top w:w="70" w:type="dxa"/>
              <w:bottom w:w="70" w:type="dxa"/>
              <w:start w:w="100" w:type="dxa"/>
              <w:end w:w="100" w:type="dxa"/>
            </w:tcMar>
          </w:tcPr>
          <w:p>
            <w:pPr>
              <w:spacing w:after="0" w:line="247" w:lineRule="auto"/>
            </w:pPr>
            <w:r>
              <w:rPr>
                <w:rFonts w:ascii="Calibri" w:hAnsi="Calibri"/>
                <w:b w:val="0"/>
                <w:i w:val="0"/>
                <w:color w:val="0B2545"/>
                <w:sz w:val="16"/>
              </w:rPr>
              <w:t>Position/underlying concentration exceeds limit</w:t>
            </w:r>
          </w:p>
        </w:tc>
        <w:tc>
          <w:tcPr>
            <w:tcW w:type="dxa" w:w="1500"/>
            <w:vAlign w:val="center"/>
            <w:tcMar>
              <w:top w:w="70" w:type="dxa"/>
              <w:bottom w:w="70" w:type="dxa"/>
              <w:start w:w="100" w:type="dxa"/>
              <w:end w:w="100" w:type="dxa"/>
            </w:tcMar>
          </w:tcPr>
          <w:p>
            <w:pPr>
              <w:spacing w:after="0" w:line="247" w:lineRule="auto"/>
            </w:pPr>
            <w:r>
              <w:rPr>
                <w:rFonts w:ascii="Calibri" w:hAnsi="Calibri"/>
                <w:b w:val="0"/>
                <w:i w:val="0"/>
                <w:color w:val="0B2545"/>
                <w:sz w:val="16"/>
              </w:rPr>
              <w:t>Warn</w:t>
            </w:r>
          </w:p>
        </w:tc>
        <w:tc>
          <w:tcPr>
            <w:tcW w:type="dxa" w:w="4710"/>
            <w:vAlign w:val="center"/>
            <w:tcMar>
              <w:top w:w="70" w:type="dxa"/>
              <w:bottom w:w="70" w:type="dxa"/>
              <w:start w:w="100" w:type="dxa"/>
              <w:end w:w="100" w:type="dxa"/>
            </w:tcMar>
          </w:tcPr>
          <w:p>
            <w:pPr>
              <w:spacing w:after="0" w:line="247" w:lineRule="auto"/>
            </w:pPr>
            <w:r>
              <w:rPr>
                <w:rFonts w:ascii="Calibri" w:hAnsi="Calibri"/>
                <w:b w:val="0"/>
                <w:i w:val="0"/>
                <w:color w:val="0B2545"/>
                <w:sz w:val="16"/>
              </w:rPr>
              <w:t>Display resulting exposure and reason requirement.</w:t>
            </w:r>
          </w:p>
        </w:tc>
      </w:tr>
      <w:tr>
        <w:trPr>
          <w:cantSplit/>
        </w:trPr>
        <w:tc>
          <w:tcPr>
            <w:tcW w:type="dxa" w:w="3150"/>
            <w:vAlign w:val="center"/>
            <w:tcMar>
              <w:top w:w="70" w:type="dxa"/>
              <w:bottom w:w="70" w:type="dxa"/>
              <w:start w:w="100" w:type="dxa"/>
              <w:end w:w="100" w:type="dxa"/>
            </w:tcMar>
          </w:tcPr>
          <w:p>
            <w:pPr>
              <w:spacing w:after="0" w:line="247" w:lineRule="auto"/>
            </w:pPr>
            <w:r>
              <w:rPr>
                <w:rFonts w:ascii="Calibri" w:hAnsi="Calibri"/>
                <w:b w:val="0"/>
                <w:i w:val="0"/>
                <w:color w:val="0B2545"/>
                <w:sz w:val="16"/>
              </w:rPr>
              <w:t>Estimated taxable gain/loss material</w:t>
            </w:r>
          </w:p>
        </w:tc>
        <w:tc>
          <w:tcPr>
            <w:tcW w:type="dxa" w:w="1500"/>
            <w:vAlign w:val="center"/>
            <w:tcMar>
              <w:top w:w="70" w:type="dxa"/>
              <w:bottom w:w="70" w:type="dxa"/>
              <w:start w:w="100" w:type="dxa"/>
              <w:end w:w="100" w:type="dxa"/>
            </w:tcMar>
          </w:tcPr>
          <w:p>
            <w:pPr>
              <w:spacing w:after="0" w:line="247" w:lineRule="auto"/>
            </w:pPr>
            <w:r>
              <w:rPr>
                <w:rFonts w:ascii="Calibri" w:hAnsi="Calibri"/>
                <w:b w:val="0"/>
                <w:i w:val="0"/>
                <w:color w:val="0B2545"/>
                <w:sz w:val="16"/>
              </w:rPr>
              <w:t>Warn</w:t>
            </w:r>
          </w:p>
        </w:tc>
        <w:tc>
          <w:tcPr>
            <w:tcW w:type="dxa" w:w="4710"/>
            <w:vAlign w:val="center"/>
            <w:tcMar>
              <w:top w:w="70" w:type="dxa"/>
              <w:bottom w:w="70" w:type="dxa"/>
              <w:start w:w="100" w:type="dxa"/>
              <w:end w:w="100" w:type="dxa"/>
            </w:tcMar>
          </w:tcPr>
          <w:p>
            <w:pPr>
              <w:spacing w:after="0" w:line="247" w:lineRule="auto"/>
            </w:pPr>
            <w:r>
              <w:rPr>
                <w:rFonts w:ascii="Calibri" w:hAnsi="Calibri"/>
                <w:b w:val="0"/>
                <w:i w:val="0"/>
                <w:color w:val="0B2545"/>
                <w:sz w:val="16"/>
              </w:rPr>
              <w:t>Show estimate separately; do not present as tax advice or silently net cash.</w:t>
            </w:r>
          </w:p>
        </w:tc>
      </w:tr>
      <w:tr>
        <w:trPr>
          <w:cantSplit/>
        </w:trPr>
        <w:tc>
          <w:tcPr>
            <w:tcW w:type="dxa" w:w="3150"/>
            <w:vAlign w:val="center"/>
            <w:tcMar>
              <w:top w:w="70" w:type="dxa"/>
              <w:bottom w:w="70" w:type="dxa"/>
              <w:start w:w="100" w:type="dxa"/>
              <w:end w:w="100" w:type="dxa"/>
            </w:tcMar>
          </w:tcPr>
          <w:p>
            <w:pPr>
              <w:spacing w:after="0" w:line="247" w:lineRule="auto"/>
            </w:pPr>
            <w:r>
              <w:rPr>
                <w:rFonts w:ascii="Calibri" w:hAnsi="Calibri"/>
                <w:b w:val="0"/>
                <w:i w:val="0"/>
                <w:color w:val="0B2545"/>
                <w:sz w:val="16"/>
              </w:rPr>
              <w:t>Actual fill differs from approved line</w:t>
            </w:r>
          </w:p>
        </w:tc>
        <w:tc>
          <w:tcPr>
            <w:tcW w:type="dxa" w:w="1500"/>
            <w:vAlign w:val="center"/>
            <w:tcMar>
              <w:top w:w="70" w:type="dxa"/>
              <w:bottom w:w="70" w:type="dxa"/>
              <w:start w:w="100" w:type="dxa"/>
              <w:end w:w="100" w:type="dxa"/>
            </w:tcMar>
          </w:tcPr>
          <w:p>
            <w:pPr>
              <w:spacing w:after="0" w:line="247" w:lineRule="auto"/>
            </w:pPr>
            <w:r>
              <w:rPr>
                <w:rFonts w:ascii="Calibri" w:hAnsi="Calibri"/>
                <w:b w:val="0"/>
                <w:i w:val="0"/>
                <w:color w:val="0B2545"/>
                <w:sz w:val="16"/>
              </w:rPr>
              <w:t>Reconcile</w:t>
            </w:r>
          </w:p>
        </w:tc>
        <w:tc>
          <w:tcPr>
            <w:tcW w:type="dxa" w:w="4710"/>
            <w:vAlign w:val="center"/>
            <w:tcMar>
              <w:top w:w="70" w:type="dxa"/>
              <w:bottom w:w="70" w:type="dxa"/>
              <w:start w:w="100" w:type="dxa"/>
              <w:end w:w="100" w:type="dxa"/>
            </w:tcMar>
          </w:tcPr>
          <w:p>
            <w:pPr>
              <w:spacing w:after="0" w:line="247" w:lineRule="auto"/>
            </w:pPr>
            <w:r>
              <w:rPr>
                <w:rFonts w:ascii="Calibri" w:hAnsi="Calibri"/>
                <w:b w:val="0"/>
                <w:i w:val="0"/>
                <w:color w:val="0B2545"/>
                <w:sz w:val="16"/>
              </w:rPr>
              <w:t>Surface quantity, price, lot, fee and date variances.</w:t>
            </w:r>
          </w:p>
        </w:tc>
      </w:tr>
      <w:tr>
        <w:trPr>
          <w:cantSplit/>
        </w:trPr>
        <w:tc>
          <w:tcPr>
            <w:tcW w:type="dxa" w:w="3150"/>
            <w:vAlign w:val="center"/>
            <w:tcMar>
              <w:top w:w="70" w:type="dxa"/>
              <w:bottom w:w="70" w:type="dxa"/>
              <w:start w:w="100" w:type="dxa"/>
              <w:end w:w="100" w:type="dxa"/>
            </w:tcMar>
          </w:tcPr>
          <w:p>
            <w:pPr>
              <w:spacing w:after="0" w:line="247" w:lineRule="auto"/>
            </w:pPr>
            <w:r>
              <w:rPr>
                <w:rFonts w:ascii="Calibri" w:hAnsi="Calibri"/>
                <w:b w:val="0"/>
                <w:i w:val="0"/>
                <w:color w:val="0B2545"/>
                <w:sz w:val="16"/>
              </w:rPr>
              <w:t>Calculated plan impact disagrees with Income Plan</w:t>
            </w:r>
          </w:p>
        </w:tc>
        <w:tc>
          <w:tcPr>
            <w:tcW w:type="dxa" w:w="1500"/>
            <w:vAlign w:val="center"/>
            <w:tcMar>
              <w:top w:w="70" w:type="dxa"/>
              <w:bottom w:w="70" w:type="dxa"/>
              <w:start w:w="100" w:type="dxa"/>
              <w:end w:w="100" w:type="dxa"/>
            </w:tcMar>
          </w:tcPr>
          <w:p>
            <w:pPr>
              <w:spacing w:after="0" w:line="247" w:lineRule="auto"/>
            </w:pPr>
            <w:r>
              <w:rPr>
                <w:rFonts w:ascii="Calibri" w:hAnsi="Calibri"/>
                <w:b w:val="0"/>
                <w:i w:val="0"/>
                <w:color w:val="0B2545"/>
                <w:sz w:val="16"/>
              </w:rPr>
              <w:t>Exception</w:t>
            </w:r>
          </w:p>
        </w:tc>
        <w:tc>
          <w:tcPr>
            <w:tcW w:type="dxa" w:w="4710"/>
            <w:vAlign w:val="center"/>
            <w:tcMar>
              <w:top w:w="70" w:type="dxa"/>
              <w:bottom w:w="70" w:type="dxa"/>
              <w:start w:w="100" w:type="dxa"/>
              <w:end w:w="100" w:type="dxa"/>
            </w:tcMar>
          </w:tcPr>
          <w:p>
            <w:pPr>
              <w:spacing w:after="0" w:line="247" w:lineRule="auto"/>
            </w:pPr>
            <w:r>
              <w:rPr>
                <w:rFonts w:ascii="Calibri" w:hAnsi="Calibri"/>
                <w:b w:val="0"/>
                <w:i w:val="0"/>
                <w:color w:val="0B2545"/>
                <w:sz w:val="16"/>
              </w:rPr>
              <w:t>Prevent silent duplicate/manual total; route for reconciliation.</w:t>
            </w:r>
          </w:p>
        </w:tc>
      </w:tr>
    </w:tbl>
    <w:p>
      <w:pPr>
        <w:spacing w:after="20"/>
      </w:pPr>
    </w:p>
    <w:p>
      <w:pPr>
        <w:pStyle w:val="Heading1"/>
      </w:pPr>
      <w:r>
        <w:t>16. Nonfunctional and Audit Requirements</w:t>
      </w:r>
    </w:p>
    <w:p>
      <w:pPr>
        <w:pStyle w:val="ListBullet"/>
      </w:pPr>
      <w:r>
        <w:rPr>
          <w:rFonts w:ascii="Calibri" w:hAnsi="Calibri"/>
          <w:b w:val="0"/>
          <w:i w:val="0"/>
          <w:color w:val="0B2545"/>
          <w:sz w:val="21"/>
        </w:rPr>
        <w:t>All monetary calculations use decimal arithmetic with stored unrounded values and presentation rounding only.</w:t>
      </w:r>
    </w:p>
    <w:p>
      <w:pPr>
        <w:pStyle w:val="ListBullet"/>
      </w:pPr>
      <w:r>
        <w:rPr>
          <w:rFonts w:ascii="Calibri" w:hAnsi="Calibri"/>
          <w:b w:val="0"/>
          <w:i w:val="0"/>
          <w:color w:val="0B2545"/>
          <w:sz w:val="21"/>
        </w:rPr>
        <w:t>Every displayed result identifies its as-of timestamp, source version and whether it is projected or actual.</w:t>
      </w:r>
    </w:p>
    <w:p>
      <w:pPr>
        <w:pStyle w:val="ListBullet"/>
      </w:pPr>
      <w:r>
        <w:rPr>
          <w:rFonts w:ascii="Calibri" w:hAnsi="Calibri"/>
          <w:b w:val="0"/>
          <w:i w:val="0"/>
          <w:color w:val="0B2545"/>
          <w:sz w:val="21"/>
        </w:rPr>
        <w:t>Approved scenario versions and reconciled transaction facts are immutable; corrections create new versions/events.</w:t>
      </w:r>
    </w:p>
    <w:p>
      <w:pPr>
        <w:pStyle w:val="ListBullet"/>
      </w:pPr>
      <w:r>
        <w:rPr>
          <w:rFonts w:ascii="Calibri" w:hAnsi="Calibri"/>
          <w:b w:val="0"/>
          <w:i w:val="0"/>
          <w:color w:val="0B2545"/>
          <w:sz w:val="21"/>
        </w:rPr>
        <w:t>Recalculation must be deterministic from the preserved inputs and calculation version.</w:t>
      </w:r>
    </w:p>
    <w:p>
      <w:pPr>
        <w:pStyle w:val="ListBullet"/>
      </w:pPr>
      <w:r>
        <w:rPr>
          <w:rFonts w:ascii="Calibri" w:hAnsi="Calibri"/>
          <w:b w:val="0"/>
          <w:i w:val="0"/>
          <w:color w:val="0B2545"/>
          <w:sz w:val="21"/>
        </w:rPr>
        <w:t>Authorization separates scenario editing, approval and administrative correction even if the initial application has one owner.</w:t>
      </w:r>
    </w:p>
    <w:p>
      <w:pPr>
        <w:pStyle w:val="ListBullet"/>
      </w:pPr>
      <w:r>
        <w:rPr>
          <w:rFonts w:ascii="Calibri" w:hAnsi="Calibri"/>
          <w:b w:val="0"/>
          <w:i w:val="0"/>
          <w:color w:val="0B2545"/>
          <w:sz w:val="21"/>
        </w:rPr>
        <w:t>The interface must remain usable when a market-data provider is unavailable by retaining the last valid value, age and a prominent stale status—never a silent spreadsheet error.</w:t>
      </w:r>
    </w:p>
    <w:p>
      <w:pPr>
        <w:pStyle w:val="Heading1"/>
      </w:pPr>
      <w:r>
        <w:t>17. Migration and Historical Treatment</w:t>
      </w:r>
    </w:p>
    <w:p>
      <w:r>
        <w:rPr>
          <w:rFonts w:ascii="Calibri" w:hAnsi="Calibri"/>
          <w:b w:val="0"/>
          <w:i w:val="0"/>
          <w:color w:val="0B2545"/>
          <w:sz w:val="22"/>
        </w:rPr>
        <w:t>Historical Shopping Cart blocks are evidence, not a clean transaction source. The application should import only information that can be tied to an authoritative lot or Investment Activity Ledger event. Completed historical outcomes may be retained as summarized legacy decisions with source references; they must not manufacture missing dates, lot matches or execution details.</w:t>
      </w:r>
    </w:p>
    <w:tbl>
      <w:tblPr>
        <w:tblStyle w:val="TableGrid"/>
        <w:tblW w:type="dxa" w:w="9360"/>
        <w:jc w:val="left"/>
        <w:tblLayout w:type="fixed"/>
        <w:tblLook w:firstColumn="1" w:firstRow="1" w:lastColumn="0" w:lastRow="0" w:noHBand="0" w:noVBand="1" w:val="04A0"/>
      </w:tblPr>
      <w:tblGrid>
        <w:gridCol w:w="2900"/>
        <w:gridCol w:w="6460"/>
      </w:tblGrid>
      <w:tr>
        <w:trPr>
          <w:tblHeader w:val="true"/>
          <w:cantSplit/>
        </w:trPr>
        <w:tc>
          <w:tcPr>
            <w:tcW w:type="dxa" w:w="2900"/>
            <w:shd w:fill="F2F4F7"/>
            <w:vAlign w:val="center"/>
            <w:tcMar>
              <w:top w:w="70" w:type="dxa"/>
              <w:bottom w:w="70" w:type="dxa"/>
              <w:start w:w="100" w:type="dxa"/>
              <w:end w:w="100" w:type="dxa"/>
            </w:tcMar>
          </w:tcPr>
          <w:p>
            <w:pPr>
              <w:spacing w:after="0"/>
            </w:pPr>
            <w:r>
              <w:rPr>
                <w:rFonts w:ascii="Calibri" w:hAnsi="Calibri"/>
                <w:b/>
                <w:i w:val="0"/>
                <w:color w:val="0B2545"/>
                <w:sz w:val="16"/>
              </w:rPr>
              <w:t>Legacy content</w:t>
            </w:r>
          </w:p>
        </w:tc>
        <w:tc>
          <w:tcPr>
            <w:tcW w:type="dxa" w:w="6460"/>
            <w:shd w:fill="F2F4F7"/>
            <w:vAlign w:val="center"/>
            <w:tcMar>
              <w:top w:w="70" w:type="dxa"/>
              <w:bottom w:w="70" w:type="dxa"/>
              <w:start w:w="100" w:type="dxa"/>
              <w:end w:w="100" w:type="dxa"/>
            </w:tcMar>
          </w:tcPr>
          <w:p>
            <w:pPr>
              <w:spacing w:after="0"/>
            </w:pPr>
            <w:r>
              <w:rPr>
                <w:rFonts w:ascii="Calibri" w:hAnsi="Calibri"/>
                <w:b/>
                <w:i w:val="0"/>
                <w:color w:val="0B2545"/>
                <w:sz w:val="16"/>
              </w:rPr>
              <w:t>Migration treatment</w:t>
            </w:r>
          </w:p>
        </w:tc>
      </w:tr>
      <w:tr>
        <w:trPr>
          <w:cantSplit/>
        </w:trPr>
        <w:tc>
          <w:tcPr>
            <w:tcW w:type="dxa" w:w="2900"/>
            <w:vAlign w:val="center"/>
            <w:tcMar>
              <w:top w:w="70" w:type="dxa"/>
              <w:bottom w:w="70" w:type="dxa"/>
              <w:start w:w="100" w:type="dxa"/>
              <w:end w:w="100" w:type="dxa"/>
            </w:tcMar>
          </w:tcPr>
          <w:p>
            <w:pPr>
              <w:spacing w:after="0" w:line="247" w:lineRule="auto"/>
            </w:pPr>
            <w:r>
              <w:rPr>
                <w:rFonts w:ascii="Calibri" w:hAnsi="Calibri"/>
                <w:b w:val="0"/>
                <w:i w:val="0"/>
                <w:color w:val="0B2545"/>
                <w:sz w:val="16"/>
              </w:rPr>
              <w:t>Completed 2026 transactions</w:t>
            </w:r>
          </w:p>
        </w:tc>
        <w:tc>
          <w:tcPr>
            <w:tcW w:type="dxa" w:w="6460"/>
            <w:vAlign w:val="center"/>
            <w:tcMar>
              <w:top w:w="70" w:type="dxa"/>
              <w:bottom w:w="70" w:type="dxa"/>
              <w:start w:w="100" w:type="dxa"/>
              <w:end w:w="100" w:type="dxa"/>
            </w:tcMar>
          </w:tcPr>
          <w:p>
            <w:pPr>
              <w:spacing w:after="0" w:line="247" w:lineRule="auto"/>
            </w:pPr>
            <w:r>
              <w:rPr>
                <w:rFonts w:ascii="Calibri" w:hAnsi="Calibri"/>
                <w:b w:val="0"/>
                <w:i w:val="0"/>
                <w:color w:val="0B2545"/>
                <w:sz w:val="16"/>
              </w:rPr>
              <w:t>Link to the 2026 transaction ledger after owner reconciliation; create scenarios only when the source evidence is sufficient.</w:t>
            </w:r>
          </w:p>
        </w:tc>
      </w:tr>
      <w:tr>
        <w:trPr>
          <w:cantSplit/>
        </w:trPr>
        <w:tc>
          <w:tcPr>
            <w:tcW w:type="dxa" w:w="2900"/>
            <w:vAlign w:val="center"/>
            <w:tcMar>
              <w:top w:w="70" w:type="dxa"/>
              <w:bottom w:w="70" w:type="dxa"/>
              <w:start w:w="100" w:type="dxa"/>
              <w:end w:w="100" w:type="dxa"/>
            </w:tcMar>
          </w:tcPr>
          <w:p>
            <w:pPr>
              <w:spacing w:after="0" w:line="247" w:lineRule="auto"/>
            </w:pPr>
            <w:r>
              <w:rPr>
                <w:rFonts w:ascii="Calibri" w:hAnsi="Calibri"/>
                <w:b w:val="0"/>
                <w:i w:val="0"/>
                <w:color w:val="0B2545"/>
                <w:sz w:val="16"/>
              </w:rPr>
              <w:t>Unexecuted plans</w:t>
            </w:r>
          </w:p>
        </w:tc>
        <w:tc>
          <w:tcPr>
            <w:tcW w:type="dxa" w:w="6460"/>
            <w:vAlign w:val="center"/>
            <w:tcMar>
              <w:top w:w="70" w:type="dxa"/>
              <w:bottom w:w="70" w:type="dxa"/>
              <w:start w:w="100" w:type="dxa"/>
              <w:end w:w="100" w:type="dxa"/>
            </w:tcMar>
          </w:tcPr>
          <w:p>
            <w:pPr>
              <w:spacing w:after="0" w:line="247" w:lineRule="auto"/>
            </w:pPr>
            <w:r>
              <w:rPr>
                <w:rFonts w:ascii="Calibri" w:hAnsi="Calibri"/>
                <w:b w:val="0"/>
                <w:i w:val="0"/>
                <w:color w:val="0B2545"/>
                <w:sz w:val="16"/>
              </w:rPr>
              <w:t>Optional import as archived Draft/Cancelled legacy scenarios; no effect on actuals.</w:t>
            </w:r>
          </w:p>
        </w:tc>
      </w:tr>
      <w:tr>
        <w:trPr>
          <w:cantSplit/>
        </w:trPr>
        <w:tc>
          <w:tcPr>
            <w:tcW w:type="dxa" w:w="2900"/>
            <w:vAlign w:val="center"/>
            <w:tcMar>
              <w:top w:w="70" w:type="dxa"/>
              <w:bottom w:w="70" w:type="dxa"/>
              <w:start w:w="100" w:type="dxa"/>
              <w:end w:w="100" w:type="dxa"/>
            </w:tcMar>
          </w:tcPr>
          <w:p>
            <w:pPr>
              <w:spacing w:after="0" w:line="247" w:lineRule="auto"/>
            </w:pPr>
            <w:r>
              <w:rPr>
                <w:rFonts w:ascii="Calibri" w:hAnsi="Calibri"/>
                <w:b w:val="0"/>
                <w:i w:val="0"/>
                <w:color w:val="0B2545"/>
                <w:sz w:val="16"/>
              </w:rPr>
              <w:t>Cumulative monthly increase</w:t>
            </w:r>
          </w:p>
        </w:tc>
        <w:tc>
          <w:tcPr>
            <w:tcW w:type="dxa" w:w="6460"/>
            <w:vAlign w:val="center"/>
            <w:tcMar>
              <w:top w:w="70" w:type="dxa"/>
              <w:bottom w:w="70" w:type="dxa"/>
              <w:start w:w="100" w:type="dxa"/>
              <w:end w:w="100" w:type="dxa"/>
            </w:tcMar>
          </w:tcPr>
          <w:p>
            <w:pPr>
              <w:spacing w:after="0" w:line="247" w:lineRule="auto"/>
            </w:pPr>
            <w:r>
              <w:rPr>
                <w:rFonts w:ascii="Calibri" w:hAnsi="Calibri"/>
                <w:b w:val="0"/>
                <w:i w:val="0"/>
                <w:color w:val="0B2545"/>
                <w:sz w:val="16"/>
              </w:rPr>
              <w:t>Recalculate from completed, reconciled scenarios; retain spreadsheet figure as a comparison only.</w:t>
            </w:r>
          </w:p>
        </w:tc>
      </w:tr>
      <w:tr>
        <w:trPr>
          <w:cantSplit/>
        </w:trPr>
        <w:tc>
          <w:tcPr>
            <w:tcW w:type="dxa" w:w="2900"/>
            <w:vAlign w:val="center"/>
            <w:tcMar>
              <w:top w:w="70" w:type="dxa"/>
              <w:bottom w:w="70" w:type="dxa"/>
              <w:start w:w="100" w:type="dxa"/>
              <w:end w:w="100" w:type="dxa"/>
            </w:tcMar>
          </w:tcPr>
          <w:p>
            <w:pPr>
              <w:spacing w:after="0" w:line="247" w:lineRule="auto"/>
            </w:pPr>
            <w:r>
              <w:rPr>
                <w:rFonts w:ascii="Calibri" w:hAnsi="Calibri"/>
                <w:b w:val="0"/>
                <w:i w:val="0"/>
                <w:color w:val="0B2545"/>
                <w:sz w:val="16"/>
              </w:rPr>
              <w:t>Increase Dividend Plan cost</w:t>
            </w:r>
          </w:p>
        </w:tc>
        <w:tc>
          <w:tcPr>
            <w:tcW w:type="dxa" w:w="6460"/>
            <w:vAlign w:val="center"/>
            <w:tcMar>
              <w:top w:w="70" w:type="dxa"/>
              <w:bottom w:w="70" w:type="dxa"/>
              <w:start w:w="100" w:type="dxa"/>
              <w:end w:w="100" w:type="dxa"/>
            </w:tcMar>
          </w:tcPr>
          <w:p>
            <w:pPr>
              <w:spacing w:after="0" w:line="247" w:lineRule="auto"/>
            </w:pPr>
            <w:r>
              <w:rPr>
                <w:rFonts w:ascii="Calibri" w:hAnsi="Calibri"/>
                <w:b w:val="0"/>
                <w:i w:val="0"/>
                <w:color w:val="0B2545"/>
                <w:sz w:val="16"/>
              </w:rPr>
              <w:t>Recalculate as realized P/L from qualifying ledger sale events; do not import the hardcoded total as authoritative.</w:t>
            </w:r>
          </w:p>
        </w:tc>
      </w:tr>
      <w:tr>
        <w:trPr>
          <w:cantSplit/>
        </w:trPr>
        <w:tc>
          <w:tcPr>
            <w:tcW w:type="dxa" w:w="2900"/>
            <w:vAlign w:val="center"/>
            <w:tcMar>
              <w:top w:w="70" w:type="dxa"/>
              <w:bottom w:w="70" w:type="dxa"/>
              <w:start w:w="100" w:type="dxa"/>
              <w:end w:w="100" w:type="dxa"/>
            </w:tcMar>
          </w:tcPr>
          <w:p>
            <w:pPr>
              <w:spacing w:after="0" w:line="247" w:lineRule="auto"/>
            </w:pPr>
            <w:r>
              <w:rPr>
                <w:rFonts w:ascii="Calibri" w:hAnsi="Calibri"/>
                <w:b w:val="0"/>
                <w:i w:val="0"/>
                <w:color w:val="0B2545"/>
                <w:sz w:val="16"/>
              </w:rPr>
              <w:t>Missing allocation entries</w:t>
            </w:r>
          </w:p>
        </w:tc>
        <w:tc>
          <w:tcPr>
            <w:tcW w:type="dxa" w:w="6460"/>
            <w:vAlign w:val="center"/>
            <w:tcMar>
              <w:top w:w="70" w:type="dxa"/>
              <w:bottom w:w="70" w:type="dxa"/>
              <w:start w:w="100" w:type="dxa"/>
              <w:end w:w="100" w:type="dxa"/>
            </w:tcMar>
          </w:tcPr>
          <w:p>
            <w:pPr>
              <w:spacing w:after="0" w:line="247" w:lineRule="auto"/>
            </w:pPr>
            <w:r>
              <w:rPr>
                <w:rFonts w:ascii="Calibri" w:hAnsi="Calibri"/>
                <w:b w:val="0"/>
                <w:i w:val="0"/>
                <w:color w:val="0B2545"/>
                <w:sz w:val="16"/>
              </w:rPr>
              <w:t>Do not backfill manually. Recalculate before/after allocation where dated holdings and targets are available.</w:t>
            </w:r>
          </w:p>
        </w:tc>
      </w:tr>
      <w:tr>
        <w:trPr>
          <w:cantSplit/>
        </w:trPr>
        <w:tc>
          <w:tcPr>
            <w:tcW w:type="dxa" w:w="2900"/>
            <w:vAlign w:val="center"/>
            <w:tcMar>
              <w:top w:w="70" w:type="dxa"/>
              <w:bottom w:w="70" w:type="dxa"/>
              <w:start w:w="100" w:type="dxa"/>
              <w:end w:w="100" w:type="dxa"/>
            </w:tcMar>
          </w:tcPr>
          <w:p>
            <w:pPr>
              <w:spacing w:after="0" w:line="247" w:lineRule="auto"/>
            </w:pPr>
            <w:r>
              <w:rPr>
                <w:rFonts w:ascii="Calibri" w:hAnsi="Calibri"/>
                <w:b w:val="0"/>
                <w:i w:val="0"/>
                <w:color w:val="0B2545"/>
                <w:sz w:val="16"/>
              </w:rPr>
              <w:t>Missing dates/tranches</w:t>
            </w:r>
          </w:p>
        </w:tc>
        <w:tc>
          <w:tcPr>
            <w:tcW w:type="dxa" w:w="6460"/>
            <w:vAlign w:val="center"/>
            <w:tcMar>
              <w:top w:w="70" w:type="dxa"/>
              <w:bottom w:w="70" w:type="dxa"/>
              <w:start w:w="100" w:type="dxa"/>
              <w:end w:w="100" w:type="dxa"/>
            </w:tcMar>
          </w:tcPr>
          <w:p>
            <w:pPr>
              <w:spacing w:after="0" w:line="247" w:lineRule="auto"/>
            </w:pPr>
            <w:r>
              <w:rPr>
                <w:rFonts w:ascii="Calibri" w:hAnsi="Calibri"/>
                <w:b w:val="0"/>
                <w:i w:val="0"/>
                <w:color w:val="0B2545"/>
                <w:sz w:val="16"/>
              </w:rPr>
              <w:t>Mark unknown; never infer. Require explicit owner confirmation if needed for active reporting.</w:t>
            </w:r>
          </w:p>
        </w:tc>
      </w:tr>
    </w:tbl>
    <w:p>
      <w:pPr>
        <w:spacing w:after="20"/>
      </w:pPr>
    </w:p>
    <w:p>
      <w:pPr>
        <w:pStyle w:val="Heading1"/>
      </w:pPr>
      <w:r>
        <w:t>18. Acceptance Criteria</w:t>
      </w:r>
    </w:p>
    <w:p>
      <w:pPr>
        <w:pStyle w:val="ListBullet"/>
      </w:pPr>
      <w:r>
        <w:rPr>
          <w:rFonts w:ascii="Calibri" w:hAnsi="Calibri"/>
          <w:b w:val="0"/>
          <w:i w:val="0"/>
          <w:color w:val="0B2545"/>
          <w:sz w:val="21"/>
        </w:rPr>
        <w:t>A new-money scenario can be created for an account, modeled, approved, reconciled and completed without duplicate data entry.</w:t>
      </w:r>
    </w:p>
    <w:p>
      <w:pPr>
        <w:pStyle w:val="ListBullet"/>
      </w:pPr>
      <w:r>
        <w:rPr>
          <w:rFonts w:ascii="Calibri" w:hAnsi="Calibri"/>
          <w:b w:val="0"/>
          <w:i w:val="0"/>
          <w:color w:val="0B2545"/>
          <w:sz w:val="21"/>
        </w:rPr>
        <w:t>An exit/replacement scenario identifies exact sale lots and never assumes FIFO.</w:t>
      </w:r>
    </w:p>
    <w:p>
      <w:pPr>
        <w:pStyle w:val="ListBullet"/>
      </w:pPr>
      <w:r>
        <w:rPr>
          <w:rFonts w:ascii="Calibri" w:hAnsi="Calibri"/>
          <w:b w:val="0"/>
          <w:i w:val="0"/>
          <w:color w:val="0B2545"/>
          <w:sz w:val="21"/>
        </w:rPr>
        <w:t>The EPD example can be reproduced with sale proceeds, realized P/L, income surrendered, replacement income, remaining cash and tranche records that reconcile.</w:t>
      </w:r>
    </w:p>
    <w:p>
      <w:pPr>
        <w:pStyle w:val="ListBullet"/>
      </w:pPr>
      <w:r>
        <w:rPr>
          <w:rFonts w:ascii="Calibri" w:hAnsi="Calibri"/>
          <w:b w:val="0"/>
          <w:i w:val="0"/>
          <w:color w:val="0B2545"/>
          <w:sz w:val="21"/>
        </w:rPr>
        <w:t>A draft QYLD plan does not affect actual holdings, ROI, Income Plan or allocations.</w:t>
      </w:r>
    </w:p>
    <w:p>
      <w:pPr>
        <w:pStyle w:val="ListBullet"/>
      </w:pPr>
      <w:r>
        <w:rPr>
          <w:rFonts w:ascii="Calibri" w:hAnsi="Calibri"/>
          <w:b w:val="0"/>
          <w:i w:val="0"/>
          <w:color w:val="0B2545"/>
          <w:sz w:val="21"/>
        </w:rPr>
        <w:t>Foundation/Core/Risk On targets, before, after, signed gap and progress appear for the account and portfolio, with cash separate.</w:t>
      </w:r>
    </w:p>
    <w:p>
      <w:pPr>
        <w:pStyle w:val="ListBullet"/>
      </w:pPr>
      <w:r>
        <w:rPr>
          <w:rFonts w:ascii="Calibri" w:hAnsi="Calibri"/>
          <w:b w:val="0"/>
          <w:i w:val="0"/>
          <w:color w:val="0B2545"/>
          <w:sz w:val="21"/>
        </w:rPr>
        <w:t>Allocation-worsening scenarios display a warning and require an override reason but remain approvable by the owner.</w:t>
      </w:r>
    </w:p>
    <w:p>
      <w:pPr>
        <w:pStyle w:val="ListBullet"/>
      </w:pPr>
      <w:r>
        <w:rPr>
          <w:rFonts w:ascii="Calibri" w:hAnsi="Calibri"/>
          <w:b w:val="0"/>
          <w:i w:val="0"/>
          <w:color w:val="0B2545"/>
          <w:sz w:val="21"/>
        </w:rPr>
        <w:t>Actual fills can be pasted/imported and individually matched to approved sale lots or purchase lines.</w:t>
      </w:r>
    </w:p>
    <w:p>
      <w:pPr>
        <w:pStyle w:val="ListBullet"/>
      </w:pPr>
      <w:r>
        <w:rPr>
          <w:rFonts w:ascii="Calibri" w:hAnsi="Calibri"/>
          <w:b w:val="0"/>
          <w:i w:val="0"/>
          <w:color w:val="0B2545"/>
          <w:sz w:val="21"/>
        </w:rPr>
        <w:t>Income Plan changes derive from reconciled executions; the system flags any discrepancy comparable to the EPD $71.80 versus $56.20 mismatch.</w:t>
      </w:r>
    </w:p>
    <w:p>
      <w:pPr>
        <w:pStyle w:val="ListBullet"/>
      </w:pPr>
      <w:r>
        <w:rPr>
          <w:rFonts w:ascii="Calibri" w:hAnsi="Calibri"/>
          <w:b w:val="0"/>
          <w:i w:val="0"/>
          <w:color w:val="0B2545"/>
          <w:sz w:val="21"/>
        </w:rPr>
        <w:t>Cumulative monthly income change and realized swap P/L are reproduced from governed records without hardcoded cell lists.</w:t>
      </w:r>
    </w:p>
    <w:p>
      <w:pPr>
        <w:pStyle w:val="ListBullet"/>
      </w:pPr>
      <w:r>
        <w:rPr>
          <w:rFonts w:ascii="Calibri" w:hAnsi="Calibri"/>
          <w:b w:val="0"/>
          <w:i w:val="0"/>
          <w:color w:val="0B2545"/>
          <w:sz w:val="21"/>
        </w:rPr>
        <w:t>Replacement cost basis equals actual transaction cost and never includes an unrelated realized loss.</w:t>
      </w:r>
    </w:p>
    <w:p>
      <w:pPr>
        <w:pStyle w:val="ListBullet"/>
      </w:pPr>
      <w:r>
        <w:rPr>
          <w:rFonts w:ascii="Calibri" w:hAnsi="Calibri"/>
          <w:b w:val="0"/>
          <w:i w:val="0"/>
          <w:color w:val="0B2545"/>
          <w:sz w:val="21"/>
        </w:rPr>
        <w:t>Confirmed ticker changes update all current displays while historical symbols and audit events remain available.</w:t>
      </w:r>
    </w:p>
    <w:p>
      <w:pPr>
        <w:pStyle w:val="ListBullet"/>
      </w:pPr>
      <w:r>
        <w:rPr>
          <w:rFonts w:ascii="Calibri" w:hAnsi="Calibri"/>
          <w:b w:val="0"/>
          <w:i w:val="0"/>
          <w:color w:val="0B2545"/>
          <w:sz w:val="21"/>
        </w:rPr>
        <w:t>Every figure can be traced to a source fact, snapshot/version and calculation rule.</w:t>
      </w:r>
    </w:p>
    <w:p>
      <w:pPr>
        <w:pStyle w:val="Heading1"/>
      </w:pPr>
      <w:r>
        <w:t>19. Final Architecture Decision</w:t>
      </w:r>
    </w:p>
    <w:tbl>
      <w:tblPr>
        <w:tblStyle w:val="TableGrid"/>
        <w:tblW w:type="dxa" w:w="9360"/>
        <w:jc w:val="left"/>
        <w:tblLayout w:type="fixed"/>
        <w:tblLook w:firstColumn="1" w:firstRow="1" w:lastColumn="0" w:lastRow="0" w:noHBand="0" w:noVBand="1" w:val="04A0"/>
      </w:tblPr>
      <w:tblGrid>
        <w:gridCol w:w="9360"/>
      </w:tblGrid>
      <w:tr>
        <w:trPr>
          <w:cantSplit/>
        </w:trPr>
        <w:tc>
          <w:tcPr>
            <w:tcW w:type="dxa" w:w="9360"/>
            <w:vAlign w:val="center"/>
            <w:tcMar>
              <w:top w:w="110" w:type="dxa"/>
              <w:bottom w:w="110" w:type="dxa"/>
              <w:start w:w="120" w:type="dxa"/>
              <w:end w:w="120" w:type="dxa"/>
            </w:tcMar>
            <w:shd w:fill="EAF4E2"/>
          </w:tcPr>
          <w:p>
            <w:pPr>
              <w:spacing w:after="0"/>
            </w:pPr>
            <w:r>
              <w:rPr>
                <w:rFonts w:ascii="Calibri" w:hAnsi="Calibri"/>
                <w:b/>
                <w:i w:val="0"/>
                <w:color w:val="315B24"/>
                <w:sz w:val="22"/>
              </w:rPr>
              <w:t xml:space="preserve">DESIGN COMPLETE: </w:t>
            </w:r>
            <w:r>
              <w:rPr>
                <w:rFonts w:ascii="Calibri" w:hAnsi="Calibri"/>
                <w:b w:val="0"/>
                <w:i w:val="0"/>
                <w:color w:val="315B24"/>
                <w:sz w:val="22"/>
              </w:rPr>
              <w:t>This document is the approved as-built reconstruction and target requirements baseline for the Shopping Cart / What-if capability. No unresolved business questions remain for this tab. Implementation may refine interface layout and technical component boundaries, but must preserve the calculations, data ownership, lot controls, allocation feedback, approval behavior and audit requirements defined here.</w:t>
            </w:r>
          </w:p>
        </w:tc>
      </w:tr>
    </w:tbl>
    <w:p>
      <w:pPr>
        <w:spacing w:after="20"/>
      </w:pPr>
    </w:p>
    <w:p>
      <w:r>
        <w:rPr>
          <w:rFonts w:ascii="Calibri" w:hAnsi="Calibri"/>
          <w:b w:val="0"/>
          <w:i w:val="0"/>
          <w:color w:val="0B2545"/>
          <w:sz w:val="22"/>
        </w:rPr>
        <w:t>The complete application design phase will use this document together with the approved tab documents for Holdings, Calculator, Position Details, Last Price, Income Plan, ROI, Trends, Dashboard and Allocations. Cross-tab services and the canonical data model must reconcile those approved requirements rather than reinterpreting individual spreadsheets in isolation.</w:t>
      </w:r>
    </w:p>
    <w:p>
      <w:r>
        <w:rPr>
          <w:rFonts w:ascii="Arial" w:hAnsi="Arial" w:eastAsia="Arial"/>
          <w:b/>
          <w:i w:val="0"/>
          <w:color w:val="1F4E79"/>
          <w:sz w:val="24"/>
        </w:rPr>
        <w:t>PROJECT LOCK DISPOSITION — 14 Aug 2026</w:t>
      </w:r>
    </w:p>
    <w:p>
      <w:r>
        <w:rPr>
          <w:rFonts w:ascii="Arial" w:hAnsi="Arial" w:eastAsia="Arial"/>
          <w:b/>
          <w:i w:val="0"/>
          <w:color w:val="006600"/>
          <w:sz w:val="22"/>
        </w:rPr>
        <w:t>Status: LOCKED — DESIGN COMPLETE. Authoritative Shopping Cart foundation for implementation.</w:t>
      </w:r>
    </w:p>
    <w:p>
      <w:r>
        <w:rPr>
          <w:rFonts w:ascii="Arial" w:hAnsi="Arial" w:eastAsia="Arial"/>
          <w:b w:val="0"/>
          <w:i/>
          <w:sz w:val="20"/>
        </w:rPr>
        <w:t>Accepted as accurate as-is reconstruction and target requirements. Subject to Cross-Cutting Business Requirements (BR-X) locked the same day.</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val="0"/>
        <w:i w:val="0"/>
        <w:color w:val="5B6573"/>
        <w:sz w:val="18"/>
      </w:rPr>
      <w:t>Finance Management Application | Shopping Cart / What-if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0B254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4" w:lineRule="auto"/>
      <w:contextualSpacing/>
    </w:pPr>
    <w:rPr>
      <w:rFonts w:ascii="Calibri" w:hAnsi="Calibri"/>
      <w:color w:val="0B2545"/>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4" w:lineRule="auto"/>
      <w:contextualSpacing/>
    </w:pPr>
    <w:rPr>
      <w:rFonts w:ascii="Calibri" w:hAnsi="Calibri"/>
      <w:color w:val="0B2545"/>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00"/>
    </w:pPr>
    <w:rPr>
      <w:rFonts w:ascii="Calibri" w:hAnsi="Calibr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Shopping Cart / What-if — Current Architecture and Target Requirements</dc:title>
  <dc:subject>Finance Management Application durable design baseline</dc:subject>
  <dc:creator>OpenAI</dc:creator>
  <cp:keywords>shopping cart, what-if, allocations, lots, income, target architecture</cp:keywords>
  <dc:description>generated by python-docx</dc:description>
  <cp:lastModifiedBy/>
  <cp:revision>1</cp:revision>
  <dcterms:created xsi:type="dcterms:W3CDTF">2013-12-23T23:15:00Z</dcterms:created>
  <dcterms:modified xsi:type="dcterms:W3CDTF">2013-12-23T23:15:00Z</dcterms:modified>
  <cp:category/>
</cp:coreProperties>
</file>