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B2545"/>
          <w:sz w:val="46"/>
        </w:rPr>
        <w:t>TRENDS AND WEEKLY FINANCIAL METRICS</w:t>
      </w:r>
    </w:p>
    <w:p>
      <w:pPr>
        <w:pStyle w:val="Subtitle"/>
      </w:pPr>
      <w:r>
        <w:rPr>
          <w:rFonts w:ascii="Calibri" w:hAnsi="Calibri"/>
          <w:b w:val="0"/>
          <w:i w:val="0"/>
          <w:color w:val="5B6573"/>
          <w:sz w:val="26"/>
        </w:rPr>
        <w:t>Current Architecture, Formula Reconstruction and Complete Target Requirements</w:t>
      </w:r>
    </w:p>
    <w:p>
      <w:pPr>
        <w:spacing w:after="40"/>
      </w:pPr>
      <w:r>
        <w:rPr>
          <w:rFonts w:ascii="Calibri" w:hAnsi="Calibri"/>
          <w:b/>
          <w:i w:val="0"/>
          <w:color w:val="0B2545"/>
          <w:sz w:val="22"/>
        </w:rPr>
        <w:t xml:space="preserve">Status: </w:t>
      </w:r>
      <w:r>
        <w:rPr>
          <w:rFonts w:ascii="Calibri" w:hAnsi="Calibri"/>
          <w:b w:val="0"/>
          <w:i w:val="0"/>
          <w:color w:val="0B2545"/>
          <w:sz w:val="22"/>
        </w:rPr>
        <w:t>DESIGN COMPLETE — approved foundation for implementation</w:t>
      </w:r>
    </w:p>
    <w:p>
      <w:pPr>
        <w:spacing w:after="40"/>
      </w:pPr>
      <w:r>
        <w:rPr>
          <w:rFonts w:ascii="Calibri" w:hAnsi="Calibri"/>
          <w:b/>
          <w:i w:val="0"/>
          <w:color w:val="0B2545"/>
          <w:sz w:val="22"/>
        </w:rPr>
        <w:t xml:space="preserve">Version: </w:t>
      </w:r>
      <w:r>
        <w:rPr>
          <w:rFonts w:ascii="Calibri" w:hAnsi="Calibri"/>
          <w:b w:val="0"/>
          <w:i w:val="0"/>
          <w:color w:val="0B2545"/>
          <w:sz w:val="22"/>
        </w:rPr>
        <w:t>1.0</w:t>
      </w:r>
    </w:p>
    <w:p>
      <w:pPr>
        <w:spacing w:after="40"/>
      </w:pPr>
      <w:r>
        <w:rPr>
          <w:rFonts w:ascii="Calibri" w:hAnsi="Calibri"/>
          <w:b/>
          <w:i w:val="0"/>
          <w:color w:val="0B2545"/>
          <w:sz w:val="22"/>
        </w:rPr>
        <w:t xml:space="preserve">Sources: </w:t>
      </w:r>
      <w:r>
        <w:rPr>
          <w:rFonts w:ascii="Calibri" w:hAnsi="Calibri"/>
          <w:b w:val="0"/>
          <w:i w:val="0"/>
          <w:color w:val="0B2545"/>
          <w:sz w:val="22"/>
        </w:rPr>
        <w:t>2026-tracking spreadseet.xlsb; Trends tab.docx; owner decisions through 14 August 2026</w:t>
      </w:r>
    </w:p>
    <w:p>
      <w:pPr>
        <w:spacing w:after="40"/>
      </w:pPr>
      <w:r>
        <w:rPr>
          <w:rFonts w:ascii="Calibri" w:hAnsi="Calibri"/>
          <w:b/>
          <w:i w:val="0"/>
          <w:color w:val="0B2545"/>
          <w:sz w:val="22"/>
        </w:rPr>
        <w:t xml:space="preserve">Business week: </w:t>
      </w:r>
      <w:r>
        <w:rPr>
          <w:rFonts w:ascii="Calibri" w:hAnsi="Calibri"/>
          <w:b w:val="0"/>
          <w:i w:val="0"/>
          <w:color w:val="0B2545"/>
          <w:sz w:val="22"/>
        </w:rPr>
        <w:t>Saturday through Friday; Friday is the reporting period end</w:t>
      </w:r>
    </w:p>
    <w:p>
      <w:pPr>
        <w:spacing w:after="40"/>
      </w:pPr>
      <w:r>
        <w:rPr>
          <w:rFonts w:ascii="Calibri" w:hAnsi="Calibri"/>
          <w:b/>
          <w:i w:val="0"/>
          <w:color w:val="0B2545"/>
          <w:sz w:val="22"/>
        </w:rPr>
        <w:t xml:space="preserve">Target scope: </w:t>
      </w:r>
      <w:r>
        <w:rPr>
          <w:rFonts w:ascii="Calibri" w:hAnsi="Calibri"/>
          <w:b w:val="0"/>
          <w:i w:val="0"/>
          <w:color w:val="0B2545"/>
          <w:sz w:val="22"/>
        </w:rPr>
        <w:t>Weekly source capture, calculated trends, distribution and tax monitoring, charts, projections and downstream reuse</w:t>
      </w:r>
    </w:p>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20" w:type="dxa"/>
              <w:bottom w:w="120" w:type="dxa"/>
              <w:start w:w="120" w:type="dxa"/>
              <w:end w:w="120" w:type="dxa"/>
            </w:tcMar>
            <w:shd w:fill="EAF4E2"/>
          </w:tcPr>
          <w:p>
            <w:pPr>
              <w:spacing w:after="0"/>
            </w:pPr>
            <w:r>
              <w:rPr>
                <w:rFonts w:ascii="Calibri" w:hAnsi="Calibri"/>
                <w:b/>
                <w:i w:val="0"/>
                <w:color w:val="315B24"/>
                <w:sz w:val="22"/>
              </w:rPr>
              <w:t xml:space="preserve">Design disposition: </w:t>
            </w:r>
            <w:r>
              <w:rPr>
                <w:rFonts w:ascii="Calibri" w:hAnsi="Calibri"/>
                <w:b w:val="0"/>
                <w:i w:val="0"/>
                <w:color w:val="315B24"/>
                <w:sz w:val="22"/>
              </w:rPr>
              <w:t>The Trends target architecture is complete. The application captures each weekly source metric once, stores it as an authoritative dated fact, and calculates every trend, dashboard, Income Plan comparison, tax projection and burndown value from that shared data. No bank-deposit information is entered or reconciled in this process.</w:t>
            </w:r>
          </w:p>
        </w:tc>
      </w:tr>
    </w:tbl>
    <w:p>
      <w:pPr>
        <w:spacing w:after="20"/>
      </w:pPr>
    </w:p>
    <w:p>
      <w:pPr>
        <w:pStyle w:val="Heading1"/>
      </w:pPr>
      <w:r>
        <w:t>1. Business Purpose and Scope</w:t>
      </w:r>
    </w:p>
    <w:p>
      <w:r>
        <w:rPr>
          <w:rFonts w:ascii="Calibri" w:hAnsi="Calibri"/>
          <w:b w:val="0"/>
          <w:i w:val="0"/>
          <w:color w:val="0B2545"/>
          <w:sz w:val="22"/>
        </w:rPr>
        <w:t>Trends is the portfolio and household-finance time-series layer. It preserves weekly point-in-time account balances, realized investment results, planned dividend capacity, available liquidity, distributions, Social Security, withholding and selected tax-planning inputs. It shows direction over time and supplies shared facts to the rest of the application.</w:t>
      </w:r>
    </w:p>
    <w:p>
      <w:r>
        <w:rPr>
          <w:rFonts w:ascii="Calibri" w:hAnsi="Calibri"/>
          <w:b w:val="0"/>
          <w:i w:val="0"/>
          <w:color w:val="0B2545"/>
          <w:sz w:val="22"/>
        </w:rPr>
        <w:t>The workbook currently combines data entry, formulas, historical storage and charts in one sheet. The target separates those responsibilities without changing the business intent: source facts are captured once; governed calculations create weekly and monthly measures; application views present the results wherever needed.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20" w:type="dxa"/>
              <w:bottom w:w="120" w:type="dxa"/>
              <w:start w:w="120" w:type="dxa"/>
              <w:end w:w="120" w:type="dxa"/>
            </w:tcMar>
            <w:shd w:fill="E8EEF5"/>
          </w:tcPr>
          <w:p>
            <w:pPr>
              <w:spacing w:after="0"/>
            </w:pPr>
            <w:r>
              <w:rPr>
                <w:rFonts w:ascii="Calibri" w:hAnsi="Calibri"/>
                <w:b/>
                <w:i w:val="0"/>
                <w:color w:val="1F4D78"/>
                <w:sz w:val="22"/>
              </w:rPr>
              <w:t xml:space="preserve">Non-negotiable boundary: </w:t>
            </w:r>
            <w:r>
              <w:rPr>
                <w:rFonts w:ascii="Calibri" w:hAnsi="Calibri"/>
                <w:b w:val="0"/>
                <w:i w:val="0"/>
                <w:color w:val="1F4D78"/>
                <w:sz w:val="22"/>
              </w:rPr>
              <w:t>Trends consumes summarized ROI results but does not store duplicate ROI transactions. Household and account cash events that are not investment returns belong to a separate Non-ROI Cash Transaction Ledger. Bank deposits are outside the defined data-entry scope.</w:t>
            </w:r>
          </w:p>
        </w:tc>
      </w:tr>
    </w:tbl>
    <w:p>
      <w:pPr>
        <w:spacing w:after="20"/>
      </w:pPr>
    </w:p>
    <w:p>
      <w:pPr>
        <w:pStyle w:val="Heading1"/>
      </w:pPr>
      <w:r>
        <w:t>2. Reverse-Engineered Current Workbook</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F2F4F7"/>
            <w:vAlign w:val="center"/>
            <w:tcMar>
              <w:top w:w="80" w:type="dxa"/>
              <w:bottom w:w="80" w:type="dxa"/>
              <w:start w:w="120" w:type="dxa"/>
              <w:end w:w="120" w:type="dxa"/>
            </w:tcMar>
          </w:tcPr>
          <w:p>
            <w:pPr>
              <w:spacing w:after="0"/>
            </w:pPr>
            <w:r>
              <w:rPr>
                <w:rFonts w:ascii="Calibri" w:hAnsi="Calibri"/>
                <w:b/>
                <w:i w:val="0"/>
                <w:color w:val="0B2545"/>
                <w:sz w:val="17"/>
              </w:rPr>
              <w:t>Workbook area</w:t>
            </w:r>
          </w:p>
        </w:tc>
        <w:tc>
          <w:tcPr>
            <w:tcW w:type="dxa" w:w="7160"/>
            <w:shd w:fill="F2F4F7"/>
            <w:vAlign w:val="center"/>
            <w:tcMar>
              <w:top w:w="80" w:type="dxa"/>
              <w:bottom w:w="80" w:type="dxa"/>
              <w:start w:w="120" w:type="dxa"/>
              <w:end w:w="120" w:type="dxa"/>
            </w:tcMar>
          </w:tcPr>
          <w:p>
            <w:pPr>
              <w:spacing w:after="0"/>
            </w:pPr>
            <w:r>
              <w:rPr>
                <w:rFonts w:ascii="Calibri" w:hAnsi="Calibri"/>
                <w:b/>
                <w:i w:val="0"/>
                <w:color w:val="0B2545"/>
                <w:sz w:val="17"/>
              </w:rPr>
              <w:t>Verified behavior</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7"/>
              </w:rPr>
              <w:t>Weekly axis</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7"/>
              </w:rPr>
              <w:t>Rows represent weekly observations, but legacy dates and updates are not consistently aligned. The target standard is Saturday through Friday, with Friday as period end.</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7"/>
              </w:rPr>
              <w:t>Investment result</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7"/>
              </w:rPr>
              <w:t>Profit is weekly realized investment activity. Current rows are partly manual and the active row can link to the Dashboard ROI summary.</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7"/>
              </w:rPr>
              <w:t>Dividend trend</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7"/>
              </w:rPr>
              <w:t>Monthly DIVS is the planned monthly dividend run rate sourced from the Calculator/Income Plan process; DIV Delta is its week-over-week change.</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7"/>
              </w:rPr>
              <w:t>Portfolio values</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7"/>
              </w:rPr>
              <w:t>Fidelity and Schwab totals are manually captured; the combined total and weekly change are formulas.</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7"/>
              </w:rPr>
              <w:t>Liquidity</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7"/>
              </w:rPr>
              <w:t>Income Account cash and Account 9 cash are entered. A manually typed Account 9 ETF value is multiplied by 70%; these are summed as Total Cash.</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7"/>
              </w:rPr>
              <w:t>Account balances</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7"/>
              </w:rPr>
              <w:t>Car, Income, Health, Roth and Speculation account balances are preserved as weekly point-in-time observations.</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7"/>
              </w:rPr>
              <w:t>Distributions</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7"/>
              </w:rPr>
              <w:t>Income IRA, federal/state withholding, WPD, Social Security for each person, Roth, Account 9 and Car withdrawals are weekly amounts.</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7"/>
              </w:rPr>
              <w:t>Tax/health block</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7"/>
              </w:rPr>
              <w:t>YTD sums and manually entered estimates are used to estimate withholding gaps and health-insurance subsidy risk.</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7"/>
              </w:rPr>
              <w:t>Presentation</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7"/>
              </w:rPr>
              <w:t>Eight charts plot combined Fidelity/Schwab, cash, Car, weekly realized result, Roth, planned monthly dividends, Speculation and Income Account.</w:t>
            </w:r>
          </w:p>
        </w:tc>
      </w:tr>
    </w:tbl>
    <w:p>
      <w:pPr>
        <w:spacing w:after="20"/>
      </w:pPr>
    </w:p>
    <w:p>
      <w:pPr>
        <w:pStyle w:val="Heading2"/>
      </w:pPr>
      <w:r>
        <w:t>2.1 Current weekly field and formula inventory</w:t>
      </w:r>
    </w:p>
    <w:tbl>
      <w:tblPr>
        <w:tblStyle w:val="TableGrid"/>
        <w:tblW w:type="dxa" w:w="9360"/>
        <w:jc w:val="left"/>
        <w:tblLayout w:type="fixed"/>
        <w:tblLook w:firstColumn="1" w:firstRow="1" w:lastColumn="0" w:lastRow="0" w:noHBand="0" w:noVBand="1" w:val="04A0"/>
        <w:tblInd w:w="120" w:type="dxa"/>
      </w:tblPr>
      <w:tblGrid>
        <w:gridCol w:w="1700"/>
        <w:gridCol w:w="3350"/>
        <w:gridCol w:w="4310"/>
      </w:tblGrid>
      <w:tr>
        <w:trPr>
          <w:tblHeader w:val="true"/>
          <w:cantSplit/>
        </w:trPr>
        <w:tc>
          <w:tcPr>
            <w:tcW w:type="dxa" w:w="1700"/>
            <w:shd w:fill="F2F4F7"/>
            <w:vAlign w:val="center"/>
            <w:tcMar>
              <w:top w:w="80" w:type="dxa"/>
              <w:bottom w:w="80" w:type="dxa"/>
              <w:start w:w="120" w:type="dxa"/>
              <w:end w:w="120" w:type="dxa"/>
            </w:tcMar>
          </w:tcPr>
          <w:p>
            <w:pPr>
              <w:spacing w:after="0"/>
            </w:pPr>
            <w:r>
              <w:rPr>
                <w:rFonts w:ascii="Calibri" w:hAnsi="Calibri"/>
                <w:b/>
                <w:i w:val="0"/>
                <w:color w:val="0B2545"/>
                <w:sz w:val="15"/>
              </w:rPr>
              <w:t>Legacy field</w:t>
            </w:r>
          </w:p>
        </w:tc>
        <w:tc>
          <w:tcPr>
            <w:tcW w:type="dxa" w:w="3350"/>
            <w:shd w:fill="F2F4F7"/>
            <w:vAlign w:val="center"/>
            <w:tcMar>
              <w:top w:w="80" w:type="dxa"/>
              <w:bottom w:w="80" w:type="dxa"/>
              <w:start w:w="120" w:type="dxa"/>
              <w:end w:w="120" w:type="dxa"/>
            </w:tcMar>
          </w:tcPr>
          <w:p>
            <w:pPr>
              <w:spacing w:after="0"/>
            </w:pPr>
            <w:r>
              <w:rPr>
                <w:rFonts w:ascii="Calibri" w:hAnsi="Calibri"/>
                <w:b/>
                <w:i w:val="0"/>
                <w:color w:val="0B2545"/>
                <w:sz w:val="15"/>
              </w:rPr>
              <w:t>Current formula or meaning</w:t>
            </w:r>
          </w:p>
        </w:tc>
        <w:tc>
          <w:tcPr>
            <w:tcW w:type="dxa" w:w="4310"/>
            <w:shd w:fill="F2F4F7"/>
            <w:vAlign w:val="center"/>
            <w:tcMar>
              <w:top w:w="80" w:type="dxa"/>
              <w:bottom w:w="80" w:type="dxa"/>
              <w:start w:w="120" w:type="dxa"/>
              <w:end w:w="120" w:type="dxa"/>
            </w:tcMar>
          </w:tcPr>
          <w:p>
            <w:pPr>
              <w:spacing w:after="0"/>
            </w:pPr>
            <w:r>
              <w:rPr>
                <w:rFonts w:ascii="Calibri" w:hAnsi="Calibri"/>
                <w:b/>
                <w:i w:val="0"/>
                <w:color w:val="0B2545"/>
                <w:sz w:val="15"/>
              </w:rPr>
              <w:t>Target treatment</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Week</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Weekly row date</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Canonical period_start Saturday and period_end Friday; also store capture timestamp.</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Profit</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Dividend payments plus realized trading results</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Calculated Saturday–Friday from the Investment Activity Ledger; no duplicate entry.</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Monthly DIVS</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Planned monthly dividends from Calculator/Income Plan</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Immutable weekly plan snapshot; historical values do not change when the plan changes later.</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DIV Delta</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current Monthly DIVS − prior Monthly DIVS</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Calculated week-over-week plan change.</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Total Fidelity</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Entered total cash and holdings</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Calculated from account snapshots or entered provider total when details are unavailable.</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Total Schwab</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Entered total cash and holdings</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Same treatment as Fidelity.</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FID+SCH</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Total Fidelity + Total Schwab</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Calculated provider/portfolio total.</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Wk to Wk change</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current combined total − prior combined total</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Calculated period change; explicitly not investment performance by itself.</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Income Acct</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Cash held in Income account</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Weekly account-liquidity snapshot.</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Acct 9</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Cash held in Account 9</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Weekly account-liquidity snapshot.</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Acct 9 70% ETF</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manually typed ETF value × 70%; older rows sometimes ÷ 2</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Retire proxy. Calculate liquid value from position-level liquidity classifications.</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Total Cash</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Income cash + Account 9 cash + Account 9 proxy</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Calculated available-liquidity measure using governed classifications.</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Car/Income/Health/Roth/Speculation</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Weekly account balances</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AccountBalanceSnapshot facts; Roth and HSA included.</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Income</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Net Income IRA cash after linked components</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Distribution event net amount; gross and withholding components remain separately reportable.</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Fed Tax / State Tax</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Withholding paid from Income IRA distribution</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Linked components of the distribution and household-level withholding totals for the tax year.</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WPD</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Historical gross 1099 pay</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Historical non-ROI income; work has ended, no future projection, zero expenses unless overridden.</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SSA Barb / SSA Tom</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Social Security amounts by person</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SSA retirement benefits with gross, net and deduction components. Do not label SSI.</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Roth distribution</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Tax-free Roth withdrawal</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Non-ROI distribution; qualified/tax-free by owner policy; no withholding.</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Acct 9 withdrawal</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Traditional IRA distribution</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Gross taxable distribution; no withholding from Account 9.</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Car withdrawal</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Taxable brokerage cash withdrawal</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Cash movement only; taxable income comes from actual investment tax events/forms.</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Delta from Start</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Car balance − hardcoded 22,031</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Retire or replace with a configurable, dated baseline.</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SSI</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Duplicate of Tom SSA</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Retire duplicate; preserve raw legacy label only for migration audit.</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Total Distributions</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SUM of Income through Car columns</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Gross money distributed/received, including withholding; separately calculate net cash available.</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5"/>
              </w:rPr>
              <w:t>Month</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5"/>
              </w:rPr>
              <w:t>Manual sum of selected weekly totals</w:t>
            </w:r>
          </w:p>
        </w:tc>
        <w:tc>
          <w:tcPr>
            <w:tcW w:type="dxa" w:w="4310"/>
            <w:vAlign w:val="center"/>
            <w:tcMar>
              <w:top w:w="80" w:type="dxa"/>
              <w:bottom w:w="80" w:type="dxa"/>
              <w:start w:w="120" w:type="dxa"/>
              <w:end w:w="120" w:type="dxa"/>
            </w:tcMar>
          </w:tcPr>
          <w:p>
            <w:pPr>
              <w:spacing w:after="0" w:line="252" w:lineRule="auto"/>
            </w:pPr>
            <w:r>
              <w:rPr>
                <w:rFonts w:ascii="Calibri" w:hAnsi="Calibri"/>
                <w:b w:val="0"/>
                <w:i w:val="0"/>
                <w:color w:val="0B2545"/>
                <w:sz w:val="15"/>
              </w:rPr>
              <w:t>Calculate calendar-month totals by actual transaction/event date.</w:t>
            </w:r>
          </w:p>
        </w:tc>
      </w:tr>
    </w:tbl>
    <w:p>
      <w:pPr>
        <w:spacing w:after="20"/>
      </w:pPr>
    </w:p>
    <w:p>
      <w:pPr>
        <w:pStyle w:val="Heading1"/>
      </w:pPr>
      <w:r>
        <w:t>3. Governing Business Rules</w:t>
      </w:r>
    </w:p>
    <w:p>
      <w:pPr>
        <w:pStyle w:val="ListNumber"/>
      </w:pPr>
      <w:r>
        <w:rPr>
          <w:rFonts w:ascii="Calibri" w:hAnsi="Calibri"/>
          <w:b w:val="0"/>
          <w:i w:val="0"/>
          <w:color w:val="0B2545"/>
          <w:sz w:val="22"/>
        </w:rPr>
        <w:t>All application periods use a Saturday-through-Friday business week. period_start is Saturday and period_end is Friday.</w:t>
      </w:r>
    </w:p>
    <w:p>
      <w:pPr>
        <w:pStyle w:val="ListNumber"/>
      </w:pPr>
      <w:r>
        <w:rPr>
          <w:rFonts w:ascii="Calibri" w:hAnsi="Calibri"/>
          <w:b w:val="0"/>
          <w:i w:val="0"/>
          <w:color w:val="0B2545"/>
          <w:sz w:val="22"/>
        </w:rPr>
        <w:t>A balance captured on Saturday represents the completed reporting period ending the preceding Friday. Store the actual capture timestamp separately from the represented period end.</w:t>
      </w:r>
    </w:p>
    <w:p>
      <w:pPr>
        <w:pStyle w:val="ListNumber"/>
      </w:pPr>
      <w:r>
        <w:rPr>
          <w:rFonts w:ascii="Calibri" w:hAnsi="Calibri"/>
          <w:b w:val="0"/>
          <w:i w:val="0"/>
          <w:color w:val="0B2545"/>
          <w:sz w:val="22"/>
        </w:rPr>
        <w:t>Each weekly source metric is entered or imported once. All other tabs, screens, charts and calculations consume that stored fact; users must never repeat the same entry in multiple areas.</w:t>
      </w:r>
    </w:p>
    <w:p>
      <w:pPr>
        <w:pStyle w:val="ListNumber"/>
      </w:pPr>
      <w:r>
        <w:rPr>
          <w:rFonts w:ascii="Calibri" w:hAnsi="Calibri"/>
          <w:b w:val="0"/>
          <w:i w:val="0"/>
          <w:color w:val="0B2545"/>
          <w:sz w:val="22"/>
        </w:rPr>
        <w:t>Until APIs are implemented, the application must provide an efficient weekly capture workspace with validation, prior-week context, copy-forward where safe and a single commit that updates every dependent view.</w:t>
      </w:r>
    </w:p>
    <w:p>
      <w:pPr>
        <w:pStyle w:val="ListNumber"/>
      </w:pPr>
      <w:r>
        <w:rPr>
          <w:rFonts w:ascii="Calibri" w:hAnsi="Calibri"/>
          <w:b w:val="0"/>
          <w:i w:val="0"/>
          <w:color w:val="0B2545"/>
          <w:sz w:val="22"/>
        </w:rPr>
        <w:t>Corrections update the authoritative source fact through an audited correction. They must not require edits to every consuming screen.</w:t>
      </w:r>
    </w:p>
    <w:p>
      <w:pPr>
        <w:pStyle w:val="Heading2"/>
      </w:pPr>
      <w:r>
        <w:t>3.1 Realized investment result</w:t>
      </w:r>
    </w:p>
    <w:p>
      <w:pPr>
        <w:pStyle w:val="ListBullet"/>
      </w:pPr>
      <w:r>
        <w:rPr>
          <w:rFonts w:ascii="Calibri" w:hAnsi="Calibri"/>
          <w:b w:val="0"/>
          <w:i w:val="0"/>
          <w:color w:val="0B2545"/>
          <w:sz w:val="22"/>
        </w:rPr>
        <w:t>Weekly Profit equals realized Investment Activity Ledger events whose canonical event date falls Saturday through Friday.</w:t>
      </w:r>
    </w:p>
    <w:p>
      <w:pPr>
        <w:pStyle w:val="ListBullet"/>
      </w:pPr>
      <w:r>
        <w:rPr>
          <w:rFonts w:ascii="Calibri" w:hAnsi="Calibri"/>
          <w:b w:val="0"/>
          <w:i w:val="0"/>
          <w:color w:val="0B2545"/>
          <w:sz w:val="22"/>
        </w:rPr>
        <w:t>Included activity: dividends, covered-call premium, cash-secured-put premium, lot-specific sale profit/loss and day-trade profit/loss.</w:t>
      </w:r>
    </w:p>
    <w:p>
      <w:pPr>
        <w:pStyle w:val="ListBullet"/>
      </w:pPr>
      <w:r>
        <w:rPr>
          <w:rFonts w:ascii="Calibri" w:hAnsi="Calibri"/>
          <w:b w:val="0"/>
          <w:i w:val="0"/>
          <w:color w:val="0B2545"/>
          <w:sz w:val="22"/>
        </w:rPr>
        <w:t>Excluded activity: unrealized market-value change, account transfers, withdrawals, Social Security, WPD income, withholding and other non-ROI cash activity.</w:t>
      </w:r>
    </w:p>
    <w:p>
      <w:pPr>
        <w:pStyle w:val="ListBullet"/>
      </w:pPr>
      <w:r>
        <w:rPr>
          <w:rFonts w:ascii="Calibri" w:hAnsi="Calibri"/>
          <w:b w:val="0"/>
          <w:i w:val="0"/>
          <w:color w:val="0B2545"/>
          <w:sz w:val="22"/>
        </w:rPr>
        <w:t>The ledger remains authoritative. Trends stores or materializes the weekly aggregate and retains lineage to the contributing ledger events.</w:t>
      </w:r>
    </w:p>
    <w:p>
      <w:pPr>
        <w:pStyle w:val="Heading2"/>
      </w:pPr>
      <w:r>
        <w:t>3.2 Planned dividend trend</w:t>
      </w:r>
    </w:p>
    <w:p>
      <w:pPr>
        <w:pStyle w:val="ListBullet"/>
      </w:pPr>
      <w:r>
        <w:rPr>
          <w:rFonts w:ascii="Calibri" w:hAnsi="Calibri"/>
          <w:b w:val="0"/>
          <w:i w:val="0"/>
          <w:color w:val="0B2545"/>
          <w:sz w:val="22"/>
        </w:rPr>
        <w:t>The Income Plan is the authoritative source for the planned-dividend amount used by Trends.</w:t>
      </w:r>
    </w:p>
    <w:p>
      <w:pPr>
        <w:pStyle w:val="ListBullet"/>
      </w:pPr>
      <w:r>
        <w:rPr>
          <w:rFonts w:ascii="Calibri" w:hAnsi="Calibri"/>
          <w:b w:val="0"/>
          <w:i w:val="0"/>
          <w:color w:val="0B2545"/>
          <w:sz w:val="22"/>
        </w:rPr>
        <w:t>At weekly close, the application freezes the planned monthly dividend run rate for that week. Later Calculator or Income Plan changes must not rewrite prior weekly snapshots.</w:t>
      </w:r>
    </w:p>
    <w:p>
      <w:pPr>
        <w:pStyle w:val="ListBullet"/>
      </w:pPr>
      <w:r>
        <w:rPr>
          <w:rFonts w:ascii="Calibri" w:hAnsi="Calibri"/>
          <w:b w:val="0"/>
          <w:i w:val="0"/>
          <w:color w:val="0B2545"/>
          <w:sz w:val="22"/>
        </w:rPr>
        <w:t>DIV Delta is the current frozen plan snapshot minus the prior frozen plan snapshot.</w:t>
      </w:r>
    </w:p>
    <w:p>
      <w:pPr>
        <w:pStyle w:val="ListBullet"/>
      </w:pPr>
      <w:r>
        <w:rPr>
          <w:rFonts w:ascii="Calibri" w:hAnsi="Calibri"/>
          <w:b w:val="0"/>
          <w:i w:val="0"/>
          <w:color w:val="0B2545"/>
          <w:sz w:val="22"/>
        </w:rPr>
        <w:t>Averages and performance comparisons are calculated over preserved weekly snapshots to show how the plan is doing over time.</w:t>
      </w:r>
    </w:p>
    <w:p>
      <w:pPr>
        <w:pStyle w:val="Heading2"/>
      </w:pPr>
      <w:r>
        <w:t>3.3 Monthly assignment</w:t>
      </w:r>
    </w:p>
    <w:p>
      <w:pPr>
        <w:pStyle w:val="ListBullet"/>
      </w:pPr>
      <w:r>
        <w:rPr>
          <w:rFonts w:ascii="Calibri" w:hAnsi="Calibri"/>
          <w:b w:val="0"/>
          <w:i w:val="0"/>
          <w:color w:val="0B2545"/>
          <w:sz w:val="22"/>
        </w:rPr>
        <w:t>Income, distributions and withholding are assigned to the calendar month of the actual transaction or payment date, even when the Saturday–Friday business week crosses a month boundary.</w:t>
      </w:r>
    </w:p>
    <w:p>
      <w:pPr>
        <w:pStyle w:val="ListBullet"/>
      </w:pPr>
      <w:r>
        <w:rPr>
          <w:rFonts w:ascii="Calibri" w:hAnsi="Calibri"/>
          <w:b w:val="0"/>
          <w:i w:val="0"/>
          <w:color w:val="0B2545"/>
          <w:sz w:val="22"/>
        </w:rPr>
        <w:t>Monthly totals are calculated from dated events, not by manually selecting four or five weekly cells.</w:t>
      </w:r>
    </w:p>
    <w:p>
      <w:pPr>
        <w:pStyle w:val="ListBullet"/>
      </w:pPr>
      <w:r>
        <w:rPr>
          <w:rFonts w:ascii="Calibri" w:hAnsi="Calibri"/>
          <w:b w:val="0"/>
          <w:i w:val="0"/>
          <w:color w:val="0B2545"/>
          <w:sz w:val="22"/>
        </w:rPr>
        <w:t>Weekly and monthly reports may therefore slice the same event by two valid calendars without changing the underlying fact.</w:t>
      </w:r>
    </w:p>
    <w:p>
      <w:pPr>
        <w:pStyle w:val="Heading1"/>
      </w:pPr>
      <w:r>
        <w:t>4. Weekly Capture and Close Process</w:t>
      </w:r>
    </w:p>
    <w:tbl>
      <w:tblPr>
        <w:tblStyle w:val="TableGrid"/>
        <w:tblW w:type="dxa" w:w="9360"/>
        <w:jc w:val="left"/>
        <w:tblLayout w:type="fixed"/>
        <w:tblLook w:firstColumn="1" w:firstRow="1" w:lastColumn="0" w:lastRow="0" w:noHBand="0" w:noVBand="1" w:val="04A0"/>
        <w:tblInd w:w="120" w:type="dxa"/>
      </w:tblPr>
      <w:tblGrid>
        <w:gridCol w:w="900"/>
        <w:gridCol w:w="3320"/>
        <w:gridCol w:w="5140"/>
      </w:tblGrid>
      <w:tr>
        <w:trPr>
          <w:tblHeader w:val="true"/>
          <w:cantSplit/>
        </w:trPr>
        <w:tc>
          <w:tcPr>
            <w:tcW w:type="dxa" w:w="900"/>
            <w:shd w:fill="F2F4F7"/>
            <w:vAlign w:val="center"/>
            <w:tcMar>
              <w:top w:w="80" w:type="dxa"/>
              <w:bottom w:w="80" w:type="dxa"/>
              <w:start w:w="120" w:type="dxa"/>
              <w:end w:w="120" w:type="dxa"/>
            </w:tcMar>
          </w:tcPr>
          <w:p>
            <w:pPr>
              <w:spacing w:after="0"/>
            </w:pPr>
            <w:r>
              <w:rPr>
                <w:rFonts w:ascii="Calibri" w:hAnsi="Calibri"/>
                <w:b/>
                <w:i w:val="0"/>
                <w:color w:val="0B2545"/>
                <w:sz w:val="16"/>
              </w:rPr>
              <w:t>Step</w:t>
            </w:r>
          </w:p>
        </w:tc>
        <w:tc>
          <w:tcPr>
            <w:tcW w:type="dxa" w:w="3320"/>
            <w:shd w:fill="F2F4F7"/>
            <w:vAlign w:val="center"/>
            <w:tcMar>
              <w:top w:w="80" w:type="dxa"/>
              <w:bottom w:w="80" w:type="dxa"/>
              <w:start w:w="120" w:type="dxa"/>
              <w:end w:w="120" w:type="dxa"/>
            </w:tcMar>
          </w:tcPr>
          <w:p>
            <w:pPr>
              <w:spacing w:after="0"/>
            </w:pPr>
            <w:r>
              <w:rPr>
                <w:rFonts w:ascii="Calibri" w:hAnsi="Calibri"/>
                <w:b/>
                <w:i w:val="0"/>
                <w:color w:val="0B2545"/>
                <w:sz w:val="16"/>
              </w:rPr>
              <w:t>Owner action</w:t>
            </w:r>
          </w:p>
        </w:tc>
        <w:tc>
          <w:tcPr>
            <w:tcW w:type="dxa" w:w="5140"/>
            <w:shd w:fill="F2F4F7"/>
            <w:vAlign w:val="center"/>
            <w:tcMar>
              <w:top w:w="80" w:type="dxa"/>
              <w:bottom w:w="80" w:type="dxa"/>
              <w:start w:w="120" w:type="dxa"/>
              <w:end w:w="120" w:type="dxa"/>
            </w:tcMar>
          </w:tcPr>
          <w:p>
            <w:pPr>
              <w:spacing w:after="0"/>
            </w:pPr>
            <w:r>
              <w:rPr>
                <w:rFonts w:ascii="Calibri" w:hAnsi="Calibri"/>
                <w:b/>
                <w:i w:val="0"/>
                <w:color w:val="0B2545"/>
                <w:sz w:val="16"/>
              </w:rPr>
              <w:t>Application responsibility</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6"/>
              </w:rPr>
              <w:t>1. Open week</w:t>
            </w:r>
          </w:p>
        </w:tc>
        <w:tc>
          <w:tcPr>
            <w:tcW w:type="dxa" w:w="3320"/>
            <w:vAlign w:val="center"/>
            <w:tcMar>
              <w:top w:w="80" w:type="dxa"/>
              <w:bottom w:w="80" w:type="dxa"/>
              <w:start w:w="120" w:type="dxa"/>
              <w:end w:w="120" w:type="dxa"/>
            </w:tcMar>
          </w:tcPr>
          <w:p>
            <w:pPr>
              <w:spacing w:after="0" w:line="252" w:lineRule="auto"/>
            </w:pPr>
            <w:r>
              <w:rPr>
                <w:rFonts w:ascii="Calibri" w:hAnsi="Calibri"/>
                <w:b w:val="0"/>
                <w:i w:val="0"/>
                <w:color w:val="0B2545"/>
                <w:sz w:val="16"/>
              </w:rPr>
              <w:t>Open the completed Saturday–Friday period on Saturday.</w:t>
            </w:r>
          </w:p>
        </w:tc>
        <w:tc>
          <w:tcPr>
            <w:tcW w:type="dxa" w:w="5140"/>
            <w:vAlign w:val="center"/>
            <w:tcMar>
              <w:top w:w="80" w:type="dxa"/>
              <w:bottom w:w="80" w:type="dxa"/>
              <w:start w:w="120" w:type="dxa"/>
              <w:end w:w="120" w:type="dxa"/>
            </w:tcMar>
          </w:tcPr>
          <w:p>
            <w:pPr>
              <w:spacing w:after="0" w:line="252" w:lineRule="auto"/>
            </w:pPr>
            <w:r>
              <w:rPr>
                <w:rFonts w:ascii="Calibri" w:hAnsi="Calibri"/>
                <w:b w:val="0"/>
                <w:i w:val="0"/>
                <w:color w:val="0B2545"/>
                <w:sz w:val="16"/>
              </w:rPr>
              <w:t>Create or retrieve the unique WeeklyFinancialPeriod and show source status.</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6"/>
              </w:rPr>
              <w:t>2. Capture balances</w:t>
            </w:r>
          </w:p>
        </w:tc>
        <w:tc>
          <w:tcPr>
            <w:tcW w:type="dxa" w:w="3320"/>
            <w:vAlign w:val="center"/>
            <w:tcMar>
              <w:top w:w="80" w:type="dxa"/>
              <w:bottom w:w="80" w:type="dxa"/>
              <w:start w:w="120" w:type="dxa"/>
              <w:end w:w="120" w:type="dxa"/>
            </w:tcMar>
          </w:tcPr>
          <w:p>
            <w:pPr>
              <w:spacing w:after="0" w:line="252" w:lineRule="auto"/>
            </w:pPr>
            <w:r>
              <w:rPr>
                <w:rFonts w:ascii="Calibri" w:hAnsi="Calibri"/>
                <w:b w:val="0"/>
                <w:i w:val="0"/>
                <w:color w:val="0B2545"/>
                <w:sz w:val="16"/>
              </w:rPr>
              <w:t>Enter or import current provider/account balances and cash metrics not yet available through an API.</w:t>
            </w:r>
          </w:p>
        </w:tc>
        <w:tc>
          <w:tcPr>
            <w:tcW w:type="dxa" w:w="5140"/>
            <w:vAlign w:val="center"/>
            <w:tcMar>
              <w:top w:w="80" w:type="dxa"/>
              <w:bottom w:w="80" w:type="dxa"/>
              <w:start w:w="120" w:type="dxa"/>
              <w:end w:w="120" w:type="dxa"/>
            </w:tcMar>
          </w:tcPr>
          <w:p>
            <w:pPr>
              <w:spacing w:after="0" w:line="252" w:lineRule="auto"/>
            </w:pPr>
            <w:r>
              <w:rPr>
                <w:rFonts w:ascii="Calibri" w:hAnsi="Calibri"/>
                <w:b w:val="0"/>
                <w:i w:val="0"/>
                <w:color w:val="0B2545"/>
                <w:sz w:val="16"/>
              </w:rPr>
              <w:t>Validate required accounts, dates, currency, duplicates and balance consistency.</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6"/>
              </w:rPr>
              <w:t>3. Confirm plan</w:t>
            </w:r>
          </w:p>
        </w:tc>
        <w:tc>
          <w:tcPr>
            <w:tcW w:type="dxa" w:w="3320"/>
            <w:vAlign w:val="center"/>
            <w:tcMar>
              <w:top w:w="80" w:type="dxa"/>
              <w:bottom w:w="80" w:type="dxa"/>
              <w:start w:w="120" w:type="dxa"/>
              <w:end w:w="120" w:type="dxa"/>
            </w:tcMar>
          </w:tcPr>
          <w:p>
            <w:pPr>
              <w:spacing w:after="0" w:line="252" w:lineRule="auto"/>
            </w:pPr>
            <w:r>
              <w:rPr>
                <w:rFonts w:ascii="Calibri" w:hAnsi="Calibri"/>
                <w:b w:val="0"/>
                <w:i w:val="0"/>
                <w:color w:val="0B2545"/>
                <w:sz w:val="16"/>
              </w:rPr>
              <w:t>Review the current Income Plan snapshot.</w:t>
            </w:r>
          </w:p>
        </w:tc>
        <w:tc>
          <w:tcPr>
            <w:tcW w:type="dxa" w:w="5140"/>
            <w:vAlign w:val="center"/>
            <w:tcMar>
              <w:top w:w="80" w:type="dxa"/>
              <w:bottom w:w="80" w:type="dxa"/>
              <w:start w:w="120" w:type="dxa"/>
              <w:end w:w="120" w:type="dxa"/>
            </w:tcMar>
          </w:tcPr>
          <w:p>
            <w:pPr>
              <w:spacing w:after="0" w:line="252" w:lineRule="auto"/>
            </w:pPr>
            <w:r>
              <w:rPr>
                <w:rFonts w:ascii="Calibri" w:hAnsi="Calibri"/>
                <w:b w:val="0"/>
                <w:i w:val="0"/>
                <w:color w:val="0B2545"/>
                <w:sz w:val="16"/>
              </w:rPr>
              <w:t>Freeze the week’s planned monthly dividend run rate and retain the source version.</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6"/>
              </w:rPr>
              <w:t>4. Calculate ROI</w:t>
            </w:r>
          </w:p>
        </w:tc>
        <w:tc>
          <w:tcPr>
            <w:tcW w:type="dxa" w:w="3320"/>
            <w:vAlign w:val="center"/>
            <w:tcMar>
              <w:top w:w="80" w:type="dxa"/>
              <w:bottom w:w="80" w:type="dxa"/>
              <w:start w:w="120" w:type="dxa"/>
              <w:end w:w="120" w:type="dxa"/>
            </w:tcMar>
          </w:tcPr>
          <w:p>
            <w:pPr>
              <w:spacing w:after="0" w:line="252" w:lineRule="auto"/>
            </w:pPr>
            <w:r>
              <w:rPr>
                <w:rFonts w:ascii="Calibri" w:hAnsi="Calibri"/>
                <w:b w:val="0"/>
                <w:i w:val="0"/>
                <w:color w:val="0B2545"/>
                <w:sz w:val="16"/>
              </w:rPr>
              <w:t>No duplicate Profit entry is required when ledger activity is complete.</w:t>
            </w:r>
          </w:p>
        </w:tc>
        <w:tc>
          <w:tcPr>
            <w:tcW w:type="dxa" w:w="5140"/>
            <w:vAlign w:val="center"/>
            <w:tcMar>
              <w:top w:w="80" w:type="dxa"/>
              <w:bottom w:w="80" w:type="dxa"/>
              <w:start w:w="120" w:type="dxa"/>
              <w:end w:w="120" w:type="dxa"/>
            </w:tcMar>
          </w:tcPr>
          <w:p>
            <w:pPr>
              <w:spacing w:after="0" w:line="252" w:lineRule="auto"/>
            </w:pPr>
            <w:r>
              <w:rPr>
                <w:rFonts w:ascii="Calibri" w:hAnsi="Calibri"/>
                <w:b w:val="0"/>
                <w:i w:val="0"/>
                <w:color w:val="0B2545"/>
                <w:sz w:val="16"/>
              </w:rPr>
              <w:t>Aggregate realized Investment Activity Ledger events for Saturday–Friday.</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6"/>
              </w:rPr>
              <w:t>5. Capture non-ROI events</w:t>
            </w:r>
          </w:p>
        </w:tc>
        <w:tc>
          <w:tcPr>
            <w:tcW w:type="dxa" w:w="3320"/>
            <w:vAlign w:val="center"/>
            <w:tcMar>
              <w:top w:w="80" w:type="dxa"/>
              <w:bottom w:w="80" w:type="dxa"/>
              <w:start w:w="120" w:type="dxa"/>
              <w:end w:w="120" w:type="dxa"/>
            </w:tcMar>
          </w:tcPr>
          <w:p>
            <w:pPr>
              <w:spacing w:after="0" w:line="252" w:lineRule="auto"/>
            </w:pPr>
            <w:r>
              <w:rPr>
                <w:rFonts w:ascii="Calibri" w:hAnsi="Calibri"/>
                <w:b w:val="0"/>
                <w:i w:val="0"/>
                <w:color w:val="0B2545"/>
                <w:sz w:val="16"/>
              </w:rPr>
              <w:t>Enter applicable SSA, distributions, withholding, HSA withdrawals or other defined non-ROI events once.</w:t>
            </w:r>
          </w:p>
        </w:tc>
        <w:tc>
          <w:tcPr>
            <w:tcW w:type="dxa" w:w="5140"/>
            <w:vAlign w:val="center"/>
            <w:tcMar>
              <w:top w:w="80" w:type="dxa"/>
              <w:bottom w:w="80" w:type="dxa"/>
              <w:start w:w="120" w:type="dxa"/>
              <w:end w:w="120" w:type="dxa"/>
            </w:tcMar>
          </w:tcPr>
          <w:p>
            <w:pPr>
              <w:spacing w:after="0" w:line="252" w:lineRule="auto"/>
            </w:pPr>
            <w:r>
              <w:rPr>
                <w:rFonts w:ascii="Calibri" w:hAnsi="Calibri"/>
                <w:b w:val="0"/>
                <w:i w:val="0"/>
                <w:color w:val="0B2545"/>
                <w:sz w:val="16"/>
              </w:rPr>
              <w:t>Classify, validate and reuse them in Trends, tax monitoring and burndown views.</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6"/>
              </w:rPr>
              <w:t>6. Review exceptions</w:t>
            </w:r>
          </w:p>
        </w:tc>
        <w:tc>
          <w:tcPr>
            <w:tcW w:type="dxa" w:w="3320"/>
            <w:vAlign w:val="center"/>
            <w:tcMar>
              <w:top w:w="80" w:type="dxa"/>
              <w:bottom w:w="80" w:type="dxa"/>
              <w:start w:w="120" w:type="dxa"/>
              <w:end w:w="120" w:type="dxa"/>
            </w:tcMar>
          </w:tcPr>
          <w:p>
            <w:pPr>
              <w:spacing w:after="0" w:line="252" w:lineRule="auto"/>
            </w:pPr>
            <w:r>
              <w:rPr>
                <w:rFonts w:ascii="Calibri" w:hAnsi="Calibri"/>
                <w:b w:val="0"/>
                <w:i w:val="0"/>
                <w:color w:val="0B2545"/>
                <w:sz w:val="16"/>
              </w:rPr>
              <w:t>Resolve missing, late, inconsistent or unusual items.</w:t>
            </w:r>
          </w:p>
        </w:tc>
        <w:tc>
          <w:tcPr>
            <w:tcW w:type="dxa" w:w="5140"/>
            <w:vAlign w:val="center"/>
            <w:tcMar>
              <w:top w:w="80" w:type="dxa"/>
              <w:bottom w:w="80" w:type="dxa"/>
              <w:start w:w="120" w:type="dxa"/>
              <w:end w:w="120" w:type="dxa"/>
            </w:tcMar>
          </w:tcPr>
          <w:p>
            <w:pPr>
              <w:spacing w:after="0" w:line="252" w:lineRule="auto"/>
            </w:pPr>
            <w:r>
              <w:rPr>
                <w:rFonts w:ascii="Calibri" w:hAnsi="Calibri"/>
                <w:b w:val="0"/>
                <w:i w:val="0"/>
                <w:color w:val="0B2545"/>
                <w:sz w:val="16"/>
              </w:rPr>
              <w:t>Show warnings without silently changing facts; preserve unresolved status where appropriate.</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6"/>
              </w:rPr>
              <w:t>7. Close week</w:t>
            </w:r>
          </w:p>
        </w:tc>
        <w:tc>
          <w:tcPr>
            <w:tcW w:type="dxa" w:w="3320"/>
            <w:vAlign w:val="center"/>
            <w:tcMar>
              <w:top w:w="80" w:type="dxa"/>
              <w:bottom w:w="80" w:type="dxa"/>
              <w:start w:w="120" w:type="dxa"/>
              <w:end w:w="120" w:type="dxa"/>
            </w:tcMar>
          </w:tcPr>
          <w:p>
            <w:pPr>
              <w:spacing w:after="0" w:line="252" w:lineRule="auto"/>
            </w:pPr>
            <w:r>
              <w:rPr>
                <w:rFonts w:ascii="Calibri" w:hAnsi="Calibri"/>
                <w:b w:val="0"/>
                <w:i w:val="0"/>
                <w:color w:val="0B2545"/>
                <w:sz w:val="16"/>
              </w:rPr>
              <w:t>Approve the completed weekly record.</w:t>
            </w:r>
          </w:p>
        </w:tc>
        <w:tc>
          <w:tcPr>
            <w:tcW w:type="dxa" w:w="5140"/>
            <w:vAlign w:val="center"/>
            <w:tcMar>
              <w:top w:w="80" w:type="dxa"/>
              <w:bottom w:w="80" w:type="dxa"/>
              <w:start w:w="120" w:type="dxa"/>
              <w:end w:w="120" w:type="dxa"/>
            </w:tcMar>
          </w:tcPr>
          <w:p>
            <w:pPr>
              <w:spacing w:after="0" w:line="252" w:lineRule="auto"/>
            </w:pPr>
            <w:r>
              <w:rPr>
                <w:rFonts w:ascii="Calibri" w:hAnsi="Calibri"/>
                <w:b w:val="0"/>
                <w:i w:val="0"/>
                <w:color w:val="0B2545"/>
                <w:sz w:val="16"/>
              </w:rPr>
              <w:t>Calculate derived measures, refresh all dependent views and lock the period from unlogged edits.</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6"/>
              </w:rPr>
              <w:t>8. Correct if needed</w:t>
            </w:r>
          </w:p>
        </w:tc>
        <w:tc>
          <w:tcPr>
            <w:tcW w:type="dxa" w:w="3320"/>
            <w:vAlign w:val="center"/>
            <w:tcMar>
              <w:top w:w="80" w:type="dxa"/>
              <w:bottom w:w="80" w:type="dxa"/>
              <w:start w:w="120" w:type="dxa"/>
              <w:end w:w="120" w:type="dxa"/>
            </w:tcMar>
          </w:tcPr>
          <w:p>
            <w:pPr>
              <w:spacing w:after="0" w:line="252" w:lineRule="auto"/>
            </w:pPr>
            <w:r>
              <w:rPr>
                <w:rFonts w:ascii="Calibri" w:hAnsi="Calibri"/>
                <w:b w:val="0"/>
                <w:i w:val="0"/>
                <w:color w:val="0B2545"/>
                <w:sz w:val="16"/>
              </w:rPr>
              <w:t>Submit a correction to the source fact.</w:t>
            </w:r>
          </w:p>
        </w:tc>
        <w:tc>
          <w:tcPr>
            <w:tcW w:type="dxa" w:w="5140"/>
            <w:vAlign w:val="center"/>
            <w:tcMar>
              <w:top w:w="80" w:type="dxa"/>
              <w:bottom w:w="80" w:type="dxa"/>
              <w:start w:w="120" w:type="dxa"/>
              <w:end w:w="120" w:type="dxa"/>
            </w:tcMar>
          </w:tcPr>
          <w:p>
            <w:pPr>
              <w:spacing w:after="0" w:line="252" w:lineRule="auto"/>
            </w:pPr>
            <w:r>
              <w:rPr>
                <w:rFonts w:ascii="Calibri" w:hAnsi="Calibri"/>
                <w:b w:val="0"/>
                <w:i w:val="0"/>
                <w:color w:val="0B2545"/>
                <w:sz w:val="16"/>
              </w:rPr>
              <w:t>Record before/after values, reason, user and timestamp; recalculate every dependent view.</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20" w:type="dxa"/>
              <w:bottom w:w="120" w:type="dxa"/>
              <w:start w:w="120" w:type="dxa"/>
              <w:end w:w="120" w:type="dxa"/>
            </w:tcMar>
            <w:shd w:fill="FFF2CC"/>
          </w:tcPr>
          <w:p>
            <w:pPr>
              <w:spacing w:after="0"/>
            </w:pPr>
            <w:r>
              <w:rPr>
                <w:rFonts w:ascii="Calibri" w:hAnsi="Calibri"/>
                <w:b/>
                <w:i w:val="0"/>
                <w:color w:val="1F4D78"/>
                <w:sz w:val="22"/>
              </w:rPr>
              <w:t xml:space="preserve">Automation path: </w:t>
            </w:r>
            <w:r>
              <w:rPr>
                <w:rFonts w:ascii="Calibri" w:hAnsi="Calibri"/>
                <w:b w:val="0"/>
                <w:i w:val="0"/>
                <w:color w:val="1F4D78"/>
                <w:sz w:val="22"/>
              </w:rPr>
              <w:t>Manual capture, structured copy/paste or file import are initial ingestion methods. Provider APIs can replace each source adapter later without changing the canonical weekly data model or downstream calculations.</w:t>
            </w:r>
          </w:p>
        </w:tc>
      </w:tr>
    </w:tbl>
    <w:p>
      <w:pPr>
        <w:spacing w:after="20"/>
      </w:pPr>
    </w:p>
    <w:p>
      <w:pPr>
        <w:pStyle w:val="Heading1"/>
      </w:pPr>
      <w:r>
        <w:t>5. Non-ROI Cash and Distribution Management</w:t>
      </w:r>
    </w:p>
    <w:p>
      <w:r>
        <w:rPr>
          <w:rFonts w:ascii="Calibri" w:hAnsi="Calibri"/>
          <w:b w:val="0"/>
          <w:i w:val="0"/>
          <w:color w:val="0B2545"/>
          <w:sz w:val="22"/>
        </w:rPr>
        <w:t>Viewing Trends makes the non-ROI domain explicit. These events affect household cash, distributions, tax exposure and burndown reporting, but they are not investment-return events. They must be stored in a governed Non-ROI Cash Transaction Ledger and summarized into Trends.</w:t>
      </w:r>
    </w:p>
    <w:tbl>
      <w:tblPr>
        <w:tblStyle w:val="TableGrid"/>
        <w:tblW w:type="dxa" w:w="9360"/>
        <w:jc w:val="left"/>
        <w:tblLayout w:type="fixed"/>
        <w:tblLook w:firstColumn="1" w:firstRow="1" w:lastColumn="0" w:lastRow="0" w:noHBand="0" w:noVBand="1" w:val="04A0"/>
        <w:tblInd w:w="120" w:type="dxa"/>
      </w:tblPr>
      <w:tblGrid>
        <w:gridCol w:w="1650"/>
        <w:gridCol w:w="4200"/>
        <w:gridCol w:w="3510"/>
      </w:tblGrid>
      <w:tr>
        <w:trPr>
          <w:tblHeader w:val="true"/>
          <w:cantSplit/>
        </w:trPr>
        <w:tc>
          <w:tcPr>
            <w:tcW w:type="dxa" w:w="1650"/>
            <w:shd w:fill="F2F4F7"/>
            <w:vAlign w:val="center"/>
            <w:tcMar>
              <w:top w:w="80" w:type="dxa"/>
              <w:bottom w:w="80" w:type="dxa"/>
              <w:start w:w="120" w:type="dxa"/>
              <w:end w:w="120" w:type="dxa"/>
            </w:tcMar>
          </w:tcPr>
          <w:p>
            <w:pPr>
              <w:spacing w:after="0"/>
            </w:pPr>
            <w:r>
              <w:rPr>
                <w:rFonts w:ascii="Calibri" w:hAnsi="Calibri"/>
                <w:b/>
                <w:i w:val="0"/>
                <w:color w:val="0B2545"/>
                <w:sz w:val="16"/>
              </w:rPr>
              <w:t>Event</w:t>
            </w:r>
          </w:p>
        </w:tc>
        <w:tc>
          <w:tcPr>
            <w:tcW w:type="dxa" w:w="4200"/>
            <w:shd w:fill="F2F4F7"/>
            <w:vAlign w:val="center"/>
            <w:tcMar>
              <w:top w:w="80" w:type="dxa"/>
              <w:bottom w:w="80" w:type="dxa"/>
              <w:start w:w="120" w:type="dxa"/>
              <w:end w:w="120" w:type="dxa"/>
            </w:tcMar>
          </w:tcPr>
          <w:p>
            <w:pPr>
              <w:spacing w:after="0"/>
            </w:pPr>
            <w:r>
              <w:rPr>
                <w:rFonts w:ascii="Calibri" w:hAnsi="Calibri"/>
                <w:b/>
                <w:i w:val="0"/>
                <w:color w:val="0B2545"/>
                <w:sz w:val="16"/>
              </w:rPr>
              <w:t>Required representation</w:t>
            </w:r>
          </w:p>
        </w:tc>
        <w:tc>
          <w:tcPr>
            <w:tcW w:type="dxa" w:w="3510"/>
            <w:shd w:fill="F2F4F7"/>
            <w:vAlign w:val="center"/>
            <w:tcMar>
              <w:top w:w="80" w:type="dxa"/>
              <w:bottom w:w="80" w:type="dxa"/>
              <w:start w:w="120" w:type="dxa"/>
              <w:end w:w="120" w:type="dxa"/>
            </w:tcMar>
          </w:tcPr>
          <w:p>
            <w:pPr>
              <w:spacing w:after="0"/>
            </w:pPr>
            <w:r>
              <w:rPr>
                <w:rFonts w:ascii="Calibri" w:hAnsi="Calibri"/>
                <w:b/>
                <w:i w:val="0"/>
                <w:color w:val="0B2545"/>
                <w:sz w:val="16"/>
              </w:rPr>
              <w:t>Tax/cash rule</w:t>
            </w:r>
          </w:p>
        </w:tc>
      </w:tr>
      <w:tr>
        <w:trPr>
          <w:cantSplit/>
        </w:trPr>
        <w:tc>
          <w:tcPr>
            <w:tcW w:type="dxa" w:w="165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 IRA distribution</w:t>
            </w:r>
          </w:p>
        </w:tc>
        <w:tc>
          <w:tcPr>
            <w:tcW w:type="dxa" w:w="4200"/>
            <w:vAlign w:val="center"/>
            <w:tcMar>
              <w:top w:w="80" w:type="dxa"/>
              <w:bottom w:w="80" w:type="dxa"/>
              <w:start w:w="120" w:type="dxa"/>
              <w:end w:w="120" w:type="dxa"/>
            </w:tcMar>
          </w:tcPr>
          <w:p>
            <w:pPr>
              <w:spacing w:after="0" w:line="252" w:lineRule="auto"/>
            </w:pPr>
            <w:r>
              <w:rPr>
                <w:rFonts w:ascii="Calibri" w:hAnsi="Calibri"/>
                <w:b w:val="0"/>
                <w:i w:val="0"/>
                <w:color w:val="0B2545"/>
                <w:sz w:val="16"/>
              </w:rPr>
              <w:t>One parent distribution event with gross amount, net amount, federal withholding and state withholding components.</w:t>
            </w:r>
          </w:p>
        </w:tc>
        <w:tc>
          <w:tcPr>
            <w:tcW w:type="dxa" w:w="3510"/>
            <w:vAlign w:val="center"/>
            <w:tcMar>
              <w:top w:w="80" w:type="dxa"/>
              <w:bottom w:w="80" w:type="dxa"/>
              <w:start w:w="120" w:type="dxa"/>
              <w:end w:w="120" w:type="dxa"/>
            </w:tcMar>
          </w:tcPr>
          <w:p>
            <w:pPr>
              <w:spacing w:after="0" w:line="252" w:lineRule="auto"/>
            </w:pPr>
            <w:r>
              <w:rPr>
                <w:rFonts w:ascii="Calibri" w:hAnsi="Calibri"/>
                <w:b w:val="0"/>
                <w:i w:val="0"/>
                <w:color w:val="0B2545"/>
                <w:sz w:val="16"/>
              </w:rPr>
              <w:t>Withholding remains part of gross money distributed and taxable distribution reporting; net is available cash.</w:t>
            </w:r>
          </w:p>
        </w:tc>
      </w:tr>
      <w:tr>
        <w:trPr>
          <w:cantSplit/>
        </w:trPr>
        <w:tc>
          <w:tcPr>
            <w:tcW w:type="dxa" w:w="165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 9 distribution</w:t>
            </w:r>
          </w:p>
        </w:tc>
        <w:tc>
          <w:tcPr>
            <w:tcW w:type="dxa" w:w="4200"/>
            <w:vAlign w:val="center"/>
            <w:tcMar>
              <w:top w:w="80" w:type="dxa"/>
              <w:bottom w:w="80" w:type="dxa"/>
              <w:start w:w="120" w:type="dxa"/>
              <w:end w:w="120" w:type="dxa"/>
            </w:tcMar>
          </w:tcPr>
          <w:p>
            <w:pPr>
              <w:spacing w:after="0" w:line="252" w:lineRule="auto"/>
            </w:pPr>
            <w:r>
              <w:rPr>
                <w:rFonts w:ascii="Calibri" w:hAnsi="Calibri"/>
                <w:b w:val="0"/>
                <w:i w:val="0"/>
                <w:color w:val="0B2545"/>
                <w:sz w:val="16"/>
              </w:rPr>
              <w:t>Traditional IRA distribution event with gross amount and account.</w:t>
            </w:r>
          </w:p>
        </w:tc>
        <w:tc>
          <w:tcPr>
            <w:tcW w:type="dxa" w:w="3510"/>
            <w:vAlign w:val="center"/>
            <w:tcMar>
              <w:top w:w="80" w:type="dxa"/>
              <w:bottom w:w="80" w:type="dxa"/>
              <w:start w:w="120" w:type="dxa"/>
              <w:end w:w="120" w:type="dxa"/>
            </w:tcMar>
          </w:tcPr>
          <w:p>
            <w:pPr>
              <w:spacing w:after="0" w:line="252" w:lineRule="auto"/>
            </w:pPr>
            <w:r>
              <w:rPr>
                <w:rFonts w:ascii="Calibri" w:hAnsi="Calibri"/>
                <w:b w:val="0"/>
                <w:i w:val="0"/>
                <w:color w:val="0B2545"/>
                <w:sz w:val="16"/>
              </w:rPr>
              <w:t>Gross taxable; no Account 9 withholding. Income IRA withholding may cover household-wide tax liability.</w:t>
            </w:r>
          </w:p>
        </w:tc>
      </w:tr>
      <w:tr>
        <w:trPr>
          <w:cantSplit/>
        </w:trPr>
        <w:tc>
          <w:tcPr>
            <w:tcW w:type="dxa" w:w="1650"/>
            <w:vAlign w:val="center"/>
            <w:tcMar>
              <w:top w:w="80" w:type="dxa"/>
              <w:bottom w:w="80" w:type="dxa"/>
              <w:start w:w="120" w:type="dxa"/>
              <w:end w:w="120" w:type="dxa"/>
            </w:tcMar>
          </w:tcPr>
          <w:p>
            <w:pPr>
              <w:spacing w:after="0" w:line="252" w:lineRule="auto"/>
            </w:pPr>
            <w:r>
              <w:rPr>
                <w:rFonts w:ascii="Calibri" w:hAnsi="Calibri"/>
                <w:b w:val="0"/>
                <w:i w:val="0"/>
                <w:color w:val="0B2545"/>
                <w:sz w:val="16"/>
              </w:rPr>
              <w:t>Roth distribution</w:t>
            </w:r>
          </w:p>
        </w:tc>
        <w:tc>
          <w:tcPr>
            <w:tcW w:type="dxa" w:w="4200"/>
            <w:vAlign w:val="center"/>
            <w:tcMar>
              <w:top w:w="80" w:type="dxa"/>
              <w:bottom w:w="80" w:type="dxa"/>
              <w:start w:w="120" w:type="dxa"/>
              <w:end w:w="120" w:type="dxa"/>
            </w:tcMar>
          </w:tcPr>
          <w:p>
            <w:pPr>
              <w:spacing w:after="0" w:line="252" w:lineRule="auto"/>
            </w:pPr>
            <w:r>
              <w:rPr>
                <w:rFonts w:ascii="Calibri" w:hAnsi="Calibri"/>
                <w:b w:val="0"/>
                <w:i w:val="0"/>
                <w:color w:val="0B2545"/>
                <w:sz w:val="16"/>
              </w:rPr>
              <w:t>Roth account distribution event.</w:t>
            </w:r>
          </w:p>
        </w:tc>
        <w:tc>
          <w:tcPr>
            <w:tcW w:type="dxa" w:w="3510"/>
            <w:vAlign w:val="center"/>
            <w:tcMar>
              <w:top w:w="80" w:type="dxa"/>
              <w:bottom w:w="80" w:type="dxa"/>
              <w:start w:w="120" w:type="dxa"/>
              <w:end w:w="120" w:type="dxa"/>
            </w:tcMar>
          </w:tcPr>
          <w:p>
            <w:pPr>
              <w:spacing w:after="0" w:line="252" w:lineRule="auto"/>
            </w:pPr>
            <w:r>
              <w:rPr>
                <w:rFonts w:ascii="Calibri" w:hAnsi="Calibri"/>
                <w:b w:val="0"/>
                <w:i w:val="0"/>
                <w:color w:val="0B2545"/>
                <w:sz w:val="16"/>
              </w:rPr>
              <w:t>Qualified/tax-free under owner policy; no withholding.</w:t>
            </w:r>
          </w:p>
        </w:tc>
      </w:tr>
      <w:tr>
        <w:trPr>
          <w:cantSplit/>
        </w:trPr>
        <w:tc>
          <w:tcPr>
            <w:tcW w:type="dxa" w:w="1650"/>
            <w:vAlign w:val="center"/>
            <w:tcMar>
              <w:top w:w="80" w:type="dxa"/>
              <w:bottom w:w="80" w:type="dxa"/>
              <w:start w:w="120" w:type="dxa"/>
              <w:end w:w="120" w:type="dxa"/>
            </w:tcMar>
          </w:tcPr>
          <w:p>
            <w:pPr>
              <w:spacing w:after="0" w:line="252" w:lineRule="auto"/>
            </w:pPr>
            <w:r>
              <w:rPr>
                <w:rFonts w:ascii="Calibri" w:hAnsi="Calibri"/>
                <w:b w:val="0"/>
                <w:i w:val="0"/>
                <w:color w:val="0B2545"/>
                <w:sz w:val="16"/>
              </w:rPr>
              <w:t>SSA Tom / Barb</w:t>
            </w:r>
          </w:p>
        </w:tc>
        <w:tc>
          <w:tcPr>
            <w:tcW w:type="dxa" w:w="4200"/>
            <w:vAlign w:val="center"/>
            <w:tcMar>
              <w:top w:w="80" w:type="dxa"/>
              <w:bottom w:w="80" w:type="dxa"/>
              <w:start w:w="120" w:type="dxa"/>
              <w:end w:w="120" w:type="dxa"/>
            </w:tcMar>
          </w:tcPr>
          <w:p>
            <w:pPr>
              <w:spacing w:after="0" w:line="252" w:lineRule="auto"/>
            </w:pPr>
            <w:r>
              <w:rPr>
                <w:rFonts w:ascii="Calibri" w:hAnsi="Calibri"/>
                <w:b w:val="0"/>
                <w:i w:val="0"/>
                <w:color w:val="0B2545"/>
                <w:sz w:val="16"/>
              </w:rPr>
              <w:t>Separate benefit events by recipient with gross benefit, net payment and deductions/components.</w:t>
            </w:r>
          </w:p>
        </w:tc>
        <w:tc>
          <w:tcPr>
            <w:tcW w:type="dxa" w:w="3510"/>
            <w:vAlign w:val="center"/>
            <w:tcMar>
              <w:top w:w="80" w:type="dxa"/>
              <w:bottom w:w="80" w:type="dxa"/>
              <w:start w:w="120" w:type="dxa"/>
              <w:end w:w="120" w:type="dxa"/>
            </w:tcMar>
          </w:tcPr>
          <w:p>
            <w:pPr>
              <w:spacing w:after="0" w:line="252" w:lineRule="auto"/>
            </w:pPr>
            <w:r>
              <w:rPr>
                <w:rFonts w:ascii="Calibri" w:hAnsi="Calibri"/>
                <w:b w:val="0"/>
                <w:i w:val="0"/>
                <w:color w:val="0B2545"/>
                <w:sz w:val="16"/>
              </w:rPr>
              <w:t>Social Security retirement, not SSI. Taxability is calculated at household/tax-year level and finalized from tax forms.</w:t>
            </w:r>
          </w:p>
        </w:tc>
      </w:tr>
      <w:tr>
        <w:trPr>
          <w:cantSplit/>
        </w:trPr>
        <w:tc>
          <w:tcPr>
            <w:tcW w:type="dxa" w:w="1650"/>
            <w:vAlign w:val="center"/>
            <w:tcMar>
              <w:top w:w="80" w:type="dxa"/>
              <w:bottom w:w="80" w:type="dxa"/>
              <w:start w:w="120" w:type="dxa"/>
              <w:end w:w="120" w:type="dxa"/>
            </w:tcMar>
          </w:tcPr>
          <w:p>
            <w:pPr>
              <w:spacing w:after="0" w:line="252" w:lineRule="auto"/>
            </w:pPr>
            <w:r>
              <w:rPr>
                <w:rFonts w:ascii="Calibri" w:hAnsi="Calibri"/>
                <w:b w:val="0"/>
                <w:i w:val="0"/>
                <w:color w:val="0B2545"/>
                <w:sz w:val="16"/>
              </w:rPr>
              <w:t>WPD</w:t>
            </w:r>
          </w:p>
        </w:tc>
        <w:tc>
          <w:tcPr>
            <w:tcW w:type="dxa" w:w="4200"/>
            <w:vAlign w:val="center"/>
            <w:tcMar>
              <w:top w:w="80" w:type="dxa"/>
              <w:bottom w:w="80" w:type="dxa"/>
              <w:start w:w="120" w:type="dxa"/>
              <w:end w:w="120" w:type="dxa"/>
            </w:tcMar>
          </w:tcPr>
          <w:p>
            <w:pPr>
              <w:spacing w:after="0" w:line="252" w:lineRule="auto"/>
            </w:pPr>
            <w:r>
              <w:rPr>
                <w:rFonts w:ascii="Calibri" w:hAnsi="Calibri"/>
                <w:b w:val="0"/>
                <w:i w:val="0"/>
                <w:color w:val="0B2545"/>
                <w:sz w:val="16"/>
              </w:rPr>
              <w:t>Historical gross 1099 compensation event.</w:t>
            </w:r>
          </w:p>
        </w:tc>
        <w:tc>
          <w:tcPr>
            <w:tcW w:type="dxa" w:w="3510"/>
            <w:vAlign w:val="center"/>
            <w:tcMar>
              <w:top w:w="80" w:type="dxa"/>
              <w:bottom w:w="80" w:type="dxa"/>
              <w:start w:w="120" w:type="dxa"/>
              <w:end w:w="120" w:type="dxa"/>
            </w:tcMar>
          </w:tcPr>
          <w:p>
            <w:pPr>
              <w:spacing w:after="0" w:line="252" w:lineRule="auto"/>
            </w:pPr>
            <w:r>
              <w:rPr>
                <w:rFonts w:ascii="Calibri" w:hAnsi="Calibri"/>
                <w:b w:val="0"/>
                <w:i w:val="0"/>
                <w:color w:val="0B2545"/>
                <w:sz w:val="16"/>
              </w:rPr>
              <w:t>No withholding; work ended; no future projection; business expenses default to zero unless later overridden.</w:t>
            </w:r>
          </w:p>
        </w:tc>
      </w:tr>
      <w:tr>
        <w:trPr>
          <w:cantSplit/>
        </w:trPr>
        <w:tc>
          <w:tcPr>
            <w:tcW w:type="dxa" w:w="1650"/>
            <w:vAlign w:val="center"/>
            <w:tcMar>
              <w:top w:w="80" w:type="dxa"/>
              <w:bottom w:w="80" w:type="dxa"/>
              <w:start w:w="120" w:type="dxa"/>
              <w:end w:w="120" w:type="dxa"/>
            </w:tcMar>
          </w:tcPr>
          <w:p>
            <w:pPr>
              <w:spacing w:after="0" w:line="252" w:lineRule="auto"/>
            </w:pPr>
            <w:r>
              <w:rPr>
                <w:rFonts w:ascii="Calibri" w:hAnsi="Calibri"/>
                <w:b w:val="0"/>
                <w:i w:val="0"/>
                <w:color w:val="0B2545"/>
                <w:sz w:val="16"/>
              </w:rPr>
              <w:t>Car withdrawal</w:t>
            </w:r>
          </w:p>
        </w:tc>
        <w:tc>
          <w:tcPr>
            <w:tcW w:type="dxa" w:w="4200"/>
            <w:vAlign w:val="center"/>
            <w:tcMar>
              <w:top w:w="80" w:type="dxa"/>
              <w:bottom w:w="80" w:type="dxa"/>
              <w:start w:w="120" w:type="dxa"/>
              <w:end w:w="120" w:type="dxa"/>
            </w:tcMar>
          </w:tcPr>
          <w:p>
            <w:pPr>
              <w:spacing w:after="0" w:line="252" w:lineRule="auto"/>
            </w:pPr>
            <w:r>
              <w:rPr>
                <w:rFonts w:ascii="Calibri" w:hAnsi="Calibri"/>
                <w:b w:val="0"/>
                <w:i w:val="0"/>
                <w:color w:val="0B2545"/>
                <w:sz w:val="16"/>
              </w:rPr>
              <w:t>Taxable brokerage cash-movement event.</w:t>
            </w:r>
          </w:p>
        </w:tc>
        <w:tc>
          <w:tcPr>
            <w:tcW w:type="dxa" w:w="3510"/>
            <w:vAlign w:val="center"/>
            <w:tcMar>
              <w:top w:w="80" w:type="dxa"/>
              <w:bottom w:w="80" w:type="dxa"/>
              <w:start w:w="120" w:type="dxa"/>
              <w:end w:w="120" w:type="dxa"/>
            </w:tcMar>
          </w:tcPr>
          <w:p>
            <w:pPr>
              <w:spacing w:after="0" w:line="252" w:lineRule="auto"/>
            </w:pPr>
            <w:r>
              <w:rPr>
                <w:rFonts w:ascii="Calibri" w:hAnsi="Calibri"/>
                <w:b w:val="0"/>
                <w:i w:val="0"/>
                <w:color w:val="0B2545"/>
                <w:sz w:val="16"/>
              </w:rPr>
              <w:t>Withdrawal amount does not determine tax liability. Use dividends, interest, realized gains/losses, ROC classification and tax forms.</w:t>
            </w:r>
          </w:p>
        </w:tc>
      </w:tr>
      <w:tr>
        <w:trPr>
          <w:cantSplit/>
        </w:trPr>
        <w:tc>
          <w:tcPr>
            <w:tcW w:type="dxa" w:w="1650"/>
            <w:vAlign w:val="center"/>
            <w:tcMar>
              <w:top w:w="80" w:type="dxa"/>
              <w:bottom w:w="80" w:type="dxa"/>
              <w:start w:w="120" w:type="dxa"/>
              <w:end w:w="120" w:type="dxa"/>
            </w:tcMar>
          </w:tcPr>
          <w:p>
            <w:pPr>
              <w:spacing w:after="0" w:line="252" w:lineRule="auto"/>
            </w:pPr>
            <w:r>
              <w:rPr>
                <w:rFonts w:ascii="Calibri" w:hAnsi="Calibri"/>
                <w:b w:val="0"/>
                <w:i w:val="0"/>
                <w:color w:val="0B2545"/>
                <w:sz w:val="16"/>
              </w:rPr>
              <w:t>HSA withdrawal</w:t>
            </w:r>
          </w:p>
        </w:tc>
        <w:tc>
          <w:tcPr>
            <w:tcW w:type="dxa" w:w="4200"/>
            <w:vAlign w:val="center"/>
            <w:tcMar>
              <w:top w:w="80" w:type="dxa"/>
              <w:bottom w:w="80" w:type="dxa"/>
              <w:start w:w="120" w:type="dxa"/>
              <w:end w:w="120" w:type="dxa"/>
            </w:tcMar>
          </w:tcPr>
          <w:p>
            <w:pPr>
              <w:spacing w:after="0" w:line="252" w:lineRule="auto"/>
            </w:pPr>
            <w:r>
              <w:rPr>
                <w:rFonts w:ascii="Calibri" w:hAnsi="Calibri"/>
                <w:b w:val="0"/>
                <w:i w:val="0"/>
                <w:color w:val="0B2545"/>
                <w:sz w:val="16"/>
              </w:rPr>
              <w:t>HSA medical distribution with date, amount and qualified-medical status.</w:t>
            </w:r>
          </w:p>
        </w:tc>
        <w:tc>
          <w:tcPr>
            <w:tcW w:type="dxa" w:w="3510"/>
            <w:vAlign w:val="center"/>
            <w:tcMar>
              <w:top w:w="80" w:type="dxa"/>
              <w:bottom w:w="80" w:type="dxa"/>
              <w:start w:w="120" w:type="dxa"/>
              <w:end w:w="120" w:type="dxa"/>
            </w:tcMar>
          </w:tcPr>
          <w:p>
            <w:pPr>
              <w:spacing w:after="0" w:line="252" w:lineRule="auto"/>
            </w:pPr>
            <w:r>
              <w:rPr>
                <w:rFonts w:ascii="Calibri" w:hAnsi="Calibri"/>
                <w:b w:val="0"/>
                <w:i w:val="0"/>
                <w:color w:val="0B2545"/>
                <w:sz w:val="16"/>
              </w:rPr>
              <w:t>Track actual distributions and qualification; do not leave this only in a dashboard burndown.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20" w:type="dxa"/>
              <w:bottom w:w="120" w:type="dxa"/>
              <w:start w:w="120" w:type="dxa"/>
              <w:end w:w="120" w:type="dxa"/>
            </w:tcMar>
            <w:shd w:fill="FCE4D6"/>
          </w:tcPr>
          <w:p>
            <w:pPr>
              <w:spacing w:after="0"/>
            </w:pPr>
            <w:r>
              <w:rPr>
                <w:rFonts w:ascii="Calibri" w:hAnsi="Calibri"/>
                <w:b/>
                <w:i w:val="0"/>
                <w:color w:val="1F4D78"/>
                <w:sz w:val="22"/>
              </w:rPr>
              <w:t xml:space="preserve">Explicit exclusion: </w:t>
            </w:r>
            <w:r>
              <w:rPr>
                <w:rFonts w:ascii="Calibri" w:hAnsi="Calibri"/>
                <w:b w:val="0"/>
                <w:i w:val="0"/>
                <w:color w:val="1F4D78"/>
                <w:sz w:val="22"/>
              </w:rPr>
              <w:t>No bank-deposit information is entered in the Trends process. The system does not invent or require a second bank-side transaction to recognize these events.</w:t>
            </w:r>
          </w:p>
        </w:tc>
      </w:tr>
    </w:tbl>
    <w:p>
      <w:pPr>
        <w:spacing w:after="20"/>
      </w:pPr>
    </w:p>
    <w:p>
      <w:pPr>
        <w:pStyle w:val="Heading1"/>
      </w:pPr>
      <w:r>
        <w:t>6. Target Data Model</w:t>
      </w:r>
    </w:p>
    <w:p>
      <w:r>
        <w:rPr>
          <w:rFonts w:ascii="Calibri" w:hAnsi="Calibri"/>
          <w:b w:val="0"/>
          <w:i w:val="0"/>
          <w:color w:val="0B2545"/>
          <w:sz w:val="22"/>
        </w:rPr>
        <w:t>The following entities are required to preserve source facts, eliminate duplicate entry and keep calculated values reproducible.</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trPr>
        <w:tc>
          <w:tcPr>
            <w:tcW w:type="dxa" w:w="2450"/>
            <w:shd w:fill="F2F4F7"/>
            <w:vAlign w:val="center"/>
            <w:tcMar>
              <w:top w:w="80" w:type="dxa"/>
              <w:bottom w:w="80" w:type="dxa"/>
              <w:start w:w="120" w:type="dxa"/>
              <w:end w:w="120" w:type="dxa"/>
            </w:tcMar>
          </w:tcPr>
          <w:p>
            <w:pPr>
              <w:spacing w:after="0"/>
            </w:pPr>
            <w:r>
              <w:rPr>
                <w:rFonts w:ascii="Calibri" w:hAnsi="Calibri"/>
                <w:b/>
                <w:i w:val="0"/>
                <w:color w:val="0B2545"/>
                <w:sz w:val="16"/>
              </w:rPr>
              <w:t>Entity</w:t>
            </w:r>
          </w:p>
        </w:tc>
        <w:tc>
          <w:tcPr>
            <w:tcW w:type="dxa" w:w="6910"/>
            <w:shd w:fill="F2F4F7"/>
            <w:vAlign w:val="center"/>
            <w:tcMar>
              <w:top w:w="80" w:type="dxa"/>
              <w:bottom w:w="80" w:type="dxa"/>
              <w:start w:w="120" w:type="dxa"/>
              <w:end w:w="120" w:type="dxa"/>
            </w:tcMar>
          </w:tcPr>
          <w:p>
            <w:pPr>
              <w:spacing w:after="0"/>
            </w:pPr>
            <w:r>
              <w:rPr>
                <w:rFonts w:ascii="Calibri" w:hAnsi="Calibri"/>
                <w:b/>
                <w:i w:val="0"/>
                <w:color w:val="0B2545"/>
                <w:sz w:val="16"/>
              </w:rPr>
              <w:t>Key fields and responsibility</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WeeklyFinancialPeriod</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period_id; period_start Saturday; period_end Friday; status; opened_at; closed_at; closed_by; correction_status.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account_id; provider; canonical name; account type; strategy; tax treatment; active dates. Reuses the authoritative Accounts design.</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AccountBalanceSnapshot</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snapshot_id; account_id; period_id; represented_at/period_end; captured_at; total_value; cash_value; source_method; source_reference; entered_by; correction lineage.</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PositionLiquidityClassification</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position/investment id; liquidity class; eligible percentage; effective dates; approval and provenance. Replaces the 70% ETF proxy.</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AccountLiquiditySnapshot</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account_id; period_id; cash amount; calculated liquid-security amount; total available liquidity; calculation version; contributing positions.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PlanSnapshot</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plan_snapshot_id; period_id; source Income Plan version; planned monthly dividend run rate; captured_at. Immutable after close except audited correction.</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InvestmentActivityWeeklySummary</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period_id; realized dividends; option income; lot-sale P/L; day-trade P/L; total realized result; ledger query/version and lineage.</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NonROITransaction</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transaction_id; event type; account; recipient/source; event date; gross amount; net amount; tax year; tax treatment; status; notes; source and audit fields.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DistributionComponent</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component_id; parent transaction; component type such as federal withholding, state withholding, Medicare or other deduction; amount; payee/tax authority.</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HSAQualification</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transaction_id; qualified-medical status; expense date; substantiation status/reference; owner override and audit fields.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TaxProjection</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tax year; owner-entered projected federal liability; projected state liability; actual/projected withholding; gaps; as-of date; assumption version.</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ACAProjection</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coverage year; household size/location; applicable FPL; threshold; actual YTD MAGI inputs; projected remaining inputs; projected year-end MAGI; headroom/excess; warning status.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MetricDefinition</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metric code; name; domain; formula/version; effective dates; inclusion/exclusion rules; display format.</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WeeklyMetricValue</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period_id; metric code; value; source/calculation status; calculated_at; calculation version; lineage. Used for durable reporting snapshots where required.</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AuditLog</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actor; timestamp; action; entity/id; before/after values; reason; automated/manual indicator; approval; correlation id.</w:t>
            </w:r>
          </w:p>
        </w:tc>
      </w:tr>
    </w:tbl>
    <w:p>
      <w:pPr>
        <w:spacing w:after="20"/>
      </w:pPr>
    </w:p>
    <w:p>
      <w:pPr>
        <w:pStyle w:val="Heading2"/>
      </w:pPr>
      <w:r>
        <w:t>6.1 Required source and audit fields</w:t>
      </w:r>
    </w:p>
    <w:p>
      <w:pPr>
        <w:pStyle w:val="ListBullet"/>
      </w:pPr>
      <w:r>
        <w:rPr>
          <w:rFonts w:ascii="Calibri" w:hAnsi="Calibri"/>
          <w:b w:val="0"/>
          <w:i w:val="0"/>
          <w:color w:val="0B2545"/>
          <w:sz w:val="22"/>
        </w:rPr>
        <w:t>Every entered or imported fact records source method: manual entry, structured paste, file import or API.</w:t>
      </w:r>
    </w:p>
    <w:p>
      <w:pPr>
        <w:pStyle w:val="ListBullet"/>
      </w:pPr>
      <w:r>
        <w:rPr>
          <w:rFonts w:ascii="Calibri" w:hAnsi="Calibri"/>
          <w:b w:val="0"/>
          <w:i w:val="0"/>
          <w:color w:val="0B2545"/>
          <w:sz w:val="22"/>
        </w:rPr>
        <w:t>Store source provider, source account label, import batch/reference where applicable, entered/imported timestamp and responsible user/process.</w:t>
      </w:r>
    </w:p>
    <w:p>
      <w:pPr>
        <w:pStyle w:val="ListBullet"/>
      </w:pPr>
      <w:r>
        <w:rPr>
          <w:rFonts w:ascii="Calibri" w:hAnsi="Calibri"/>
          <w:b w:val="0"/>
          <w:i w:val="0"/>
          <w:color w:val="0B2545"/>
          <w:sz w:val="22"/>
        </w:rPr>
        <w:t>Calculated metrics record calculation version and lineage to contributing facts; displayed totals must be reproducible.</w:t>
      </w:r>
    </w:p>
    <w:p>
      <w:pPr>
        <w:pStyle w:val="ListBullet"/>
      </w:pPr>
      <w:r>
        <w:rPr>
          <w:rFonts w:ascii="Calibri" w:hAnsi="Calibri"/>
          <w:b w:val="0"/>
          <w:i w:val="0"/>
          <w:color w:val="0B2545"/>
          <w:sz w:val="22"/>
        </w:rPr>
        <w:t>Automated actions and corrections require system-log entries. Closed-period changes require reason and approval status.</w:t>
      </w:r>
    </w:p>
    <w:p>
      <w:pPr>
        <w:pStyle w:val="Heading1"/>
      </w:pPr>
      <w:r>
        <w:t>7. Calculation Specifications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bottom w:w="80" w:type="dxa"/>
              <w:start w:w="120" w:type="dxa"/>
              <w:end w:w="120" w:type="dxa"/>
            </w:tcMar>
          </w:tcPr>
          <w:p>
            <w:pPr>
              <w:spacing w:after="0"/>
            </w:pPr>
            <w:r>
              <w:rPr>
                <w:rFonts w:ascii="Calibri" w:hAnsi="Calibri"/>
                <w:b/>
                <w:i w:val="0"/>
                <w:color w:val="0B2545"/>
                <w:sz w:val="16"/>
              </w:rPr>
              <w:t>Target metric</w:t>
            </w:r>
          </w:p>
        </w:tc>
        <w:tc>
          <w:tcPr>
            <w:tcW w:type="dxa" w:w="6860"/>
            <w:shd w:fill="F2F4F7"/>
            <w:vAlign w:val="center"/>
            <w:tcMar>
              <w:top w:w="80" w:type="dxa"/>
              <w:bottom w:w="80" w:type="dxa"/>
              <w:start w:w="120" w:type="dxa"/>
              <w:end w:w="120" w:type="dxa"/>
            </w:tcMar>
          </w:tcPr>
          <w:p>
            <w:pPr>
              <w:spacing w:after="0"/>
            </w:pPr>
            <w:r>
              <w:rPr>
                <w:rFonts w:ascii="Calibri" w:hAnsi="Calibri"/>
                <w:b/>
                <w:i w:val="0"/>
                <w:color w:val="0B2545"/>
                <w:sz w:val="16"/>
              </w:rPr>
              <w:t>Governing calculation</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Combined portfolio value</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SUM active AccountBalanceSnapshot.total_value for included Fidelity and Schwab accounts at the period end.</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Week-to-week value change</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current combined portfolio value − prior completed period combined portfolio value.</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Weekly realized Profit</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SUM qualifying realized Investment Activity Ledger results where event_date is between period_start and period_end inclusive.</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 monthly dividends</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the immutable Income Plan run-rate snapshot stored for the weekly period.</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Dividend plan delta</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current PlanSnapshot.planned_monthly_amount − prior period amount.</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Available liquidity</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cash plus market value × eligible liquidity percentage for positions classified as available under effective-dated rules.</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Gross distributions</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SUM gross distribution/income amounts for included non-ROI event types; withholding components are included because they are distributed taxable money paid to tax authorities.</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Net cash available</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SUM event net amounts available for spending; withholding and other deductions are excluded from net but retained as components.</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Calendar-month total</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SUM dated events whose event_date falls within the calendar month, independent of weekly boundary.</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Federal/state withholding gap</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owner-entered projected tax liability − actual plus projected withholding for the household tax year.</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Car performance baseline</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current Car account balance − configurable dated baseline; legacy hardcoded 22,031 is not authoritative.</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Weekly averages</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AVG of the selected completed weekly MetricValue series; plan and actual series remain distinct.</w:t>
            </w:r>
          </w:p>
        </w:tc>
      </w:tr>
    </w:tbl>
    <w:p>
      <w:pPr>
        <w:spacing w:after="20"/>
      </w:pPr>
    </w:p>
    <w:p>
      <w:pPr>
        <w:pStyle w:val="Heading2"/>
      </w:pPr>
      <w:r>
        <w:t>7.1 Removed or corrected legacy calculations</w:t>
      </w:r>
    </w:p>
    <w:p>
      <w:pPr>
        <w:pStyle w:val="ListBullet"/>
      </w:pPr>
      <w:r>
        <w:rPr>
          <w:rFonts w:ascii="Calibri" w:hAnsi="Calibri"/>
          <w:b w:val="0"/>
          <w:i w:val="0"/>
          <w:color w:val="0B2545"/>
          <w:sz w:val="22"/>
        </w:rPr>
        <w:t>Remove the fixed Account 9 ETF × 70% liquidity assumption. Use position-level liquidity classifications.</w:t>
      </w:r>
    </w:p>
    <w:p>
      <w:pPr>
        <w:pStyle w:val="ListBullet"/>
      </w:pPr>
      <w:r>
        <w:rPr>
          <w:rFonts w:ascii="Calibri" w:hAnsi="Calibri"/>
          <w:b w:val="0"/>
          <w:i w:val="0"/>
          <w:color w:val="0B2545"/>
          <w:sz w:val="22"/>
        </w:rPr>
        <w:t>Remove the Car withdrawal × 65% ROC reduction. ROC and taxable amounts come from investment events, classifications and tax reporting—not from cash withdrawals.</w:t>
      </w:r>
    </w:p>
    <w:p>
      <w:pPr>
        <w:pStyle w:val="ListBullet"/>
      </w:pPr>
      <w:r>
        <w:rPr>
          <w:rFonts w:ascii="Calibri" w:hAnsi="Calibri"/>
          <w:b w:val="0"/>
          <w:i w:val="0"/>
          <w:color w:val="0B2545"/>
          <w:sz w:val="22"/>
        </w:rPr>
        <w:t>Remove the hardcoded 85,000 health threshold and the simplistic excess × 8.5% loss formula as governing logic.</w:t>
      </w:r>
    </w:p>
    <w:p>
      <w:pPr>
        <w:pStyle w:val="ListBullet"/>
      </w:pPr>
      <w:r>
        <w:rPr>
          <w:rFonts w:ascii="Calibri" w:hAnsi="Calibri"/>
          <w:b w:val="0"/>
          <w:i w:val="0"/>
          <w:color w:val="0B2545"/>
          <w:sz w:val="22"/>
        </w:rPr>
        <w:t>Remove manual four/five-week Month sums. Aggregate by actual event date.</w:t>
      </w:r>
    </w:p>
    <w:p>
      <w:pPr>
        <w:pStyle w:val="ListBullet"/>
      </w:pPr>
      <w:r>
        <w:rPr>
          <w:rFonts w:ascii="Calibri" w:hAnsi="Calibri"/>
          <w:b w:val="0"/>
          <w:i w:val="0"/>
          <w:color w:val="0B2545"/>
          <w:sz w:val="22"/>
        </w:rPr>
        <w:t>Remove the duplicate SSI/Tom SSA field and correct the business label to Social Security retirement.</w:t>
      </w:r>
    </w:p>
    <w:p>
      <w:pPr>
        <w:pStyle w:val="Heading1"/>
      </w:pPr>
      <w:r>
        <w:t>8. Tax and ACA Premium Tax Credit Monitoring</w:t>
      </w:r>
    </w:p>
    <w:p>
      <w:r>
        <w:rPr>
          <w:rFonts w:ascii="Calibri" w:hAnsi="Calibri"/>
          <w:b w:val="0"/>
          <w:i w:val="0"/>
          <w:color w:val="0B2545"/>
          <w:sz w:val="22"/>
        </w:rPr>
        <w:t>The application provides planning warnings, not a tax return. The owner initially enters projected federal and state tax liability. The system compares those estimates with actual plus projected withholding and warns when projected liability exceeds withholding. Final tax forms and the filed return remain authoritative.</w:t>
      </w:r>
    </w:p>
    <w:p>
      <w:pPr>
        <w:pStyle w:val="ListBullet"/>
      </w:pPr>
      <w:r>
        <w:rPr>
          <w:rFonts w:ascii="Calibri" w:hAnsi="Calibri"/>
          <w:b w:val="0"/>
          <w:i w:val="0"/>
          <w:color w:val="0B2545"/>
          <w:sz w:val="22"/>
        </w:rPr>
        <w:t>Withholding from the Income IRA is a component of that distribution but is aggregated across the household tax year; it can cover liability arising from Account 9 and other taxable activity.</w:t>
      </w:r>
    </w:p>
    <w:p>
      <w:pPr>
        <w:pStyle w:val="ListBullet"/>
      </w:pPr>
      <w:r>
        <w:rPr>
          <w:rFonts w:ascii="Calibri" w:hAnsi="Calibri"/>
          <w:b w:val="0"/>
          <w:i w:val="0"/>
          <w:color w:val="0B2545"/>
          <w:sz w:val="22"/>
        </w:rPr>
        <w:t>Cash withdrawals do not determine taxable income. Tax projections use the applicable taxable components of retirement distributions, Social Security, dividends, interest, realized gains/losses and other tax-classified activity.</w:t>
      </w:r>
    </w:p>
    <w:p>
      <w:pPr>
        <w:pStyle w:val="ListBullet"/>
      </w:pPr>
      <w:r>
        <w:rPr>
          <w:rFonts w:ascii="Calibri" w:hAnsi="Calibri"/>
          <w:b w:val="0"/>
          <w:i w:val="0"/>
          <w:color w:val="0B2545"/>
          <w:sz w:val="22"/>
        </w:rPr>
        <w:t>Roth qualified distributions are excluded from taxable income under the approved owner policy.</w:t>
      </w:r>
    </w:p>
    <w:p>
      <w:pPr>
        <w:pStyle w:val="ListBullet"/>
      </w:pPr>
      <w:r>
        <w:rPr>
          <w:rFonts w:ascii="Calibri" w:hAnsi="Calibri"/>
          <w:b w:val="0"/>
          <w:i w:val="0"/>
          <w:color w:val="0B2545"/>
          <w:sz w:val="22"/>
        </w:rPr>
        <w:t>WPD is historical gross 1099 income with zero assumed business expenses and no future projection.</w:t>
      </w:r>
    </w:p>
    <w:p>
      <w:pPr>
        <w:pStyle w:val="Heading2"/>
      </w:pPr>
      <w:r>
        <w:t>8.1 ACA projection</w:t>
      </w:r>
    </w:p>
    <w:p>
      <w:r>
        <w:rPr>
          <w:rFonts w:ascii="Calibri" w:hAnsi="Calibri"/>
          <w:b w:val="0"/>
          <w:i w:val="0"/>
          <w:color w:val="0B2545"/>
          <w:sz w:val="22"/>
        </w:rPr>
        <w:t>The legacy ‘Health Gap’ is redesigned as an ACA Premium Tax Credit risk monitor. For 2026 coverage, the owner’s remembered two-person 400% federal-poverty benchmark is 84,600 dollars in the 48 contiguous states using the 2025 poverty guideline. The application must never hardcode this amount: coverage year, household size and location select the effective-dated rule.</w:t>
      </w:r>
    </w:p>
    <w:p>
      <w:pPr>
        <w:pStyle w:val="ListBullet"/>
      </w:pPr>
      <w:r>
        <w:rPr>
          <w:rFonts w:ascii="Calibri" w:hAnsi="Calibri"/>
          <w:b w:val="0"/>
          <w:i w:val="0"/>
          <w:color w:val="0B2545"/>
          <w:sz w:val="22"/>
        </w:rPr>
        <w:t>Calculate actual year-to-date plus projected remaining-year household MAGI inputs.</w:t>
      </w:r>
    </w:p>
    <w:p>
      <w:pPr>
        <w:pStyle w:val="ListBullet"/>
      </w:pPr>
      <w:r>
        <w:rPr>
          <w:rFonts w:ascii="Calibri" w:hAnsi="Calibri"/>
          <w:b w:val="0"/>
          <w:i w:val="0"/>
          <w:color w:val="0B2545"/>
          <w:sz w:val="22"/>
        </w:rPr>
        <w:t>Display projected year-end MAGI, applicable threshold, remaining headroom or excess and warning severity.</w:t>
      </w:r>
    </w:p>
    <w:p>
      <w:pPr>
        <w:pStyle w:val="ListBullet"/>
      </w:pPr>
      <w:r>
        <w:rPr>
          <w:rFonts w:ascii="Calibri" w:hAnsi="Calibri"/>
          <w:b w:val="0"/>
          <w:i w:val="0"/>
          <w:color w:val="0B2545"/>
          <w:sz w:val="22"/>
        </w:rPr>
        <w:t>Warnings must appear from projections before the limit is crossed and must identify the assumptions driving the result.</w:t>
      </w:r>
    </w:p>
    <w:p>
      <w:pPr>
        <w:pStyle w:val="ListBullet"/>
      </w:pPr>
      <w:r>
        <w:rPr>
          <w:rFonts w:ascii="Calibri" w:hAnsi="Calibri"/>
          <w:b w:val="0"/>
          <w:i w:val="0"/>
          <w:color w:val="0B2545"/>
          <w:sz w:val="22"/>
        </w:rPr>
        <w:t>Do not estimate subsidy loss with a universal 8.5% multiplier. Use actual marketplace premium/credit information if later supplied; otherwise label impact as undetermined risk.</w:t>
      </w:r>
    </w:p>
    <w:p>
      <w:pPr>
        <w:pStyle w:val="SmallNote"/>
      </w:pPr>
      <w:r>
        <w:rPr>
          <w:rFonts w:ascii="Calibri" w:hAnsi="Calibri"/>
          <w:b w:val="0"/>
          <w:i w:val="0"/>
          <w:color w:val="5B6573"/>
          <w:sz w:val="18"/>
        </w:rPr>
        <w:t>Regulatory basis used for this design: 2025 HHS poverty guideline for a two-person household in the contiguous states is 21,150 dollars; 400% is 84,600 dollars. Eligibility and reconciliation rules must remain configurable because tax law and marketplace rules change.</w:t>
      </w:r>
    </w:p>
    <w:p>
      <w:pPr>
        <w:pStyle w:val="Heading1"/>
      </w:pPr>
      <w:r>
        <w:t>9. Application Views and Charts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F2F4F7"/>
            <w:vAlign w:val="center"/>
            <w:tcMar>
              <w:top w:w="80" w:type="dxa"/>
              <w:bottom w:w="80" w:type="dxa"/>
              <w:start w:w="120" w:type="dxa"/>
              <w:end w:w="120" w:type="dxa"/>
            </w:tcMar>
          </w:tcPr>
          <w:p>
            <w:pPr>
              <w:spacing w:after="0"/>
            </w:pPr>
            <w:r>
              <w:rPr>
                <w:rFonts w:ascii="Calibri" w:hAnsi="Calibri"/>
                <w:b/>
                <w:i w:val="0"/>
                <w:color w:val="0B2545"/>
                <w:sz w:val="16"/>
              </w:rPr>
              <w:t>View</w:t>
            </w:r>
          </w:p>
        </w:tc>
        <w:tc>
          <w:tcPr>
            <w:tcW w:type="dxa" w:w="7160"/>
            <w:shd w:fill="F2F4F7"/>
            <w:vAlign w:val="center"/>
            <w:tcMar>
              <w:top w:w="80" w:type="dxa"/>
              <w:bottom w:w="80" w:type="dxa"/>
              <w:start w:w="120" w:type="dxa"/>
              <w:end w:w="120" w:type="dxa"/>
            </w:tcMar>
          </w:tcPr>
          <w:p>
            <w:pPr>
              <w:spacing w:after="0"/>
            </w:pPr>
            <w:r>
              <w:rPr>
                <w:rFonts w:ascii="Calibri" w:hAnsi="Calibri"/>
                <w:b/>
                <w:i w:val="0"/>
                <w:color w:val="0B2545"/>
                <w:sz w:val="16"/>
              </w:rPr>
              <w:t>Required content</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6"/>
              </w:rPr>
              <w:t>Weekly capture workspace</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6"/>
              </w:rPr>
              <w:t>One place to enter/import outstanding weekly balances and non-ROI facts; source status, prior values, validation, exceptions and close action.</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6"/>
              </w:rPr>
              <w:t>Trends overview</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6"/>
              </w:rPr>
              <w:t>Selected time range; combined portfolio value; weekly change; realized Profit; planned dividend run rate/delta; available liquidity; gross distributions and net cash.</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 trends</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6"/>
              </w:rPr>
              <w:t>Car, Income, Health/HSA, Roth, Speculation, Account 9 and provider/account balances over time.</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6"/>
              </w:rPr>
              <w:t>Distribution history</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6"/>
              </w:rPr>
              <w:t>Gross and net distributions by source/account; SSA by recipient; withholding; HSA distributions; calendar-month and YTD totals.</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6"/>
              </w:rPr>
              <w:t>Tax monitor</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6"/>
              </w:rPr>
              <w:t>Owner liability estimates; actual/projected federal and state withholding; gap warnings; assumptions and as-of date.</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6"/>
              </w:rPr>
              <w:t>ACA monitor</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6"/>
              </w:rPr>
              <w:t>Projected year-end MAGI, effective threshold, headroom/excess, warnings and contributing income categories.</w:t>
            </w:r>
          </w:p>
        </w:tc>
      </w:tr>
      <w:tr>
        <w:trPr>
          <w:cantSplit/>
        </w:trPr>
        <w:tc>
          <w:tcPr>
            <w:tcW w:type="dxa" w:w="2200"/>
            <w:vAlign w:val="center"/>
            <w:tcMar>
              <w:top w:w="80" w:type="dxa"/>
              <w:bottom w:w="80" w:type="dxa"/>
              <w:start w:w="120" w:type="dxa"/>
              <w:end w:w="120" w:type="dxa"/>
            </w:tcMar>
          </w:tcPr>
          <w:p>
            <w:pPr>
              <w:spacing w:after="0" w:line="252" w:lineRule="auto"/>
            </w:pPr>
            <w:r>
              <w:rPr>
                <w:rFonts w:ascii="Calibri" w:hAnsi="Calibri"/>
                <w:b w:val="0"/>
                <w:i w:val="0"/>
                <w:color w:val="0B2545"/>
                <w:sz w:val="16"/>
              </w:rPr>
              <w:t>Data quality</w:t>
            </w:r>
          </w:p>
        </w:tc>
        <w:tc>
          <w:tcPr>
            <w:tcW w:type="dxa" w:w="7160"/>
            <w:vAlign w:val="center"/>
            <w:tcMar>
              <w:top w:w="80" w:type="dxa"/>
              <w:bottom w:w="80" w:type="dxa"/>
              <w:start w:w="120" w:type="dxa"/>
              <w:end w:w="120" w:type="dxa"/>
            </w:tcMar>
          </w:tcPr>
          <w:p>
            <w:pPr>
              <w:spacing w:after="0" w:line="252" w:lineRule="auto"/>
            </w:pPr>
            <w:r>
              <w:rPr>
                <w:rFonts w:ascii="Calibri" w:hAnsi="Calibri"/>
                <w:b w:val="0"/>
                <w:i w:val="0"/>
                <w:color w:val="0B2545"/>
                <w:sz w:val="16"/>
              </w:rPr>
              <w:t>Missing weekly sources, stale balances, unclosed weeks, anomalous changes, unmatched classifications and correction history.</w:t>
            </w:r>
          </w:p>
        </w:tc>
      </w:tr>
    </w:tbl>
    <w:p>
      <w:pPr>
        <w:spacing w:after="20"/>
      </w:pPr>
    </w:p>
    <w:p>
      <w:r>
        <w:rPr>
          <w:rFonts w:ascii="Calibri" w:hAnsi="Calibri"/>
          <w:b w:val="0"/>
          <w:i w:val="0"/>
          <w:color w:val="0B2545"/>
          <w:sz w:val="22"/>
        </w:rPr>
        <w:t>Retain the current chart subjects as calculated views unless later usability testing consolidates them:</w:t>
      </w:r>
    </w:p>
    <w:p>
      <w:pPr>
        <w:pStyle w:val="ListBullet"/>
      </w:pPr>
      <w:r>
        <w:rPr>
          <w:rFonts w:ascii="Calibri" w:hAnsi="Calibri"/>
          <w:b w:val="0"/>
          <w:i w:val="0"/>
          <w:color w:val="0B2545"/>
          <w:sz w:val="22"/>
        </w:rPr>
        <w:t>Combined Fidelity and Schwab portfolio value</w:t>
      </w:r>
    </w:p>
    <w:p>
      <w:pPr>
        <w:pStyle w:val="ListBullet"/>
      </w:pPr>
      <w:r>
        <w:rPr>
          <w:rFonts w:ascii="Calibri" w:hAnsi="Calibri"/>
          <w:b w:val="0"/>
          <w:i w:val="0"/>
          <w:color w:val="0B2545"/>
          <w:sz w:val="22"/>
        </w:rPr>
        <w:t>Available cash/liquidity</w:t>
      </w:r>
    </w:p>
    <w:p>
      <w:pPr>
        <w:pStyle w:val="ListBullet"/>
      </w:pPr>
      <w:r>
        <w:rPr>
          <w:rFonts w:ascii="Calibri" w:hAnsi="Calibri"/>
          <w:b w:val="0"/>
          <w:i w:val="0"/>
          <w:color w:val="0B2545"/>
          <w:sz w:val="22"/>
        </w:rPr>
        <w:t>Car account balance</w:t>
      </w:r>
    </w:p>
    <w:p>
      <w:pPr>
        <w:pStyle w:val="ListBullet"/>
      </w:pPr>
      <w:r>
        <w:rPr>
          <w:rFonts w:ascii="Calibri" w:hAnsi="Calibri"/>
          <w:b w:val="0"/>
          <w:i w:val="0"/>
          <w:color w:val="0B2545"/>
          <w:sz w:val="22"/>
        </w:rPr>
        <w:t>Weekly realized investment result</w:t>
      </w:r>
    </w:p>
    <w:p>
      <w:pPr>
        <w:pStyle w:val="ListBullet"/>
      </w:pPr>
      <w:r>
        <w:rPr>
          <w:rFonts w:ascii="Calibri" w:hAnsi="Calibri"/>
          <w:b w:val="0"/>
          <w:i w:val="0"/>
          <w:color w:val="0B2545"/>
          <w:sz w:val="22"/>
        </w:rPr>
        <w:t>Roth account balance</w:t>
      </w:r>
    </w:p>
    <w:p>
      <w:pPr>
        <w:pStyle w:val="ListBullet"/>
      </w:pPr>
      <w:r>
        <w:rPr>
          <w:rFonts w:ascii="Calibri" w:hAnsi="Calibri"/>
          <w:b w:val="0"/>
          <w:i w:val="0"/>
          <w:color w:val="0B2545"/>
          <w:sz w:val="22"/>
        </w:rPr>
        <w:t>Planned monthly dividends since the selected baseline</w:t>
      </w:r>
    </w:p>
    <w:p>
      <w:pPr>
        <w:pStyle w:val="ListBullet"/>
      </w:pPr>
      <w:r>
        <w:rPr>
          <w:rFonts w:ascii="Calibri" w:hAnsi="Calibri"/>
          <w:b w:val="0"/>
          <w:i w:val="0"/>
          <w:color w:val="0B2545"/>
          <w:sz w:val="22"/>
        </w:rPr>
        <w:t>Speculation account balance</w:t>
      </w:r>
    </w:p>
    <w:p>
      <w:pPr>
        <w:pStyle w:val="ListBullet"/>
      </w:pPr>
      <w:r>
        <w:rPr>
          <w:rFonts w:ascii="Calibri" w:hAnsi="Calibri"/>
          <w:b w:val="0"/>
          <w:i w:val="0"/>
          <w:color w:val="0B2545"/>
          <w:sz w:val="22"/>
        </w:rPr>
        <w:t>Income account balance</w:t>
      </w:r>
    </w:p>
    <w:p>
      <w:pPr>
        <w:pStyle w:val="Heading1"/>
      </w:pPr>
      <w:r>
        <w:t>10. Cross-Tab and Service Dependencies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bottom w:w="80" w:type="dxa"/>
              <w:start w:w="120" w:type="dxa"/>
              <w:end w:w="120" w:type="dxa"/>
            </w:tcMar>
          </w:tcPr>
          <w:p>
            <w:pPr>
              <w:spacing w:after="0"/>
            </w:pPr>
            <w:r>
              <w:rPr>
                <w:rFonts w:ascii="Calibri" w:hAnsi="Calibri"/>
                <w:b/>
                <w:i w:val="0"/>
                <w:color w:val="0B2545"/>
                <w:sz w:val="16"/>
              </w:rPr>
              <w:t>Source/consumer</w:t>
            </w:r>
          </w:p>
        </w:tc>
        <w:tc>
          <w:tcPr>
            <w:tcW w:type="dxa" w:w="6860"/>
            <w:shd w:fill="F2F4F7"/>
            <w:vAlign w:val="center"/>
            <w:tcMar>
              <w:top w:w="80" w:type="dxa"/>
              <w:bottom w:w="80" w:type="dxa"/>
              <w:start w:w="120" w:type="dxa"/>
              <w:end w:w="120" w:type="dxa"/>
            </w:tcMar>
          </w:tcPr>
          <w:p>
            <w:pPr>
              <w:spacing w:after="0"/>
            </w:pPr>
            <w:r>
              <w:rPr>
                <w:rFonts w:ascii="Calibri" w:hAnsi="Calibri"/>
                <w:b/>
                <w:i w:val="0"/>
                <w:color w:val="0B2545"/>
                <w:sz w:val="16"/>
              </w:rPr>
              <w:t>Relationship to Trends</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Accounts</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Supplies canonical accounts, provider, type, tax treatment and active dates.</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Position Details / Holdings</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Supplies positions, values and effective-dated liquidity classifications; replaces the Account 9 proxy.</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Investment Activity Ledger</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Supplies realized events and the weekly Profit aggregate with lineage.</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Calculator</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Supplies governed planned dividend amounts through the Income Plan; historical Trends snapshots remain frozen.</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 Plan</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Authoritative weekly plan snapshot source and actual dividend comparison process.</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Non-ROI Cash Transaction Ledger</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Supplies distributions, SSA, WPD, withholding, HSA and withdrawals without contaminating ROI.</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Dashboard/Burndown</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Consumes shared weekly balances, income/distributions and HSA/Roth facts. It must not require re-entry; Roth is included in burndown.</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Tax/ACA service</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Consumes classified household events and owner assumptions; returns projections and warnings.</w:t>
            </w:r>
          </w:p>
        </w:tc>
      </w:tr>
    </w:tbl>
    <w:p>
      <w:pPr>
        <w:spacing w:after="20"/>
      </w:pPr>
    </w:p>
    <w:p>
      <w:pPr>
        <w:pStyle w:val="Heading1"/>
      </w:pPr>
      <w:r>
        <w:t>11. Validation, Controls and Acceptance Criteria</w:t>
      </w:r>
    </w:p>
    <w:tbl>
      <w:tblPr>
        <w:tblStyle w:val="TableGrid"/>
        <w:tblW w:type="dxa" w:w="9360"/>
        <w:jc w:val="left"/>
        <w:tblLayout w:type="fixed"/>
        <w:tblLook w:firstColumn="1" w:firstRow="1" w:lastColumn="0" w:lastRow="0" w:noHBand="0" w:noVBand="1" w:val="04A0"/>
        <w:tblInd w:w="120" w:type="dxa"/>
      </w:tblPr>
      <w:tblGrid>
        <w:gridCol w:w="1250"/>
        <w:gridCol w:w="8110"/>
      </w:tblGrid>
      <w:tr>
        <w:trPr>
          <w:tblHeader w:val="true"/>
          <w:cantSplit/>
        </w:trPr>
        <w:tc>
          <w:tcPr>
            <w:tcW w:type="dxa" w:w="1250"/>
            <w:shd w:fill="F2F4F7"/>
            <w:vAlign w:val="center"/>
            <w:tcMar>
              <w:top w:w="80" w:type="dxa"/>
              <w:bottom w:w="80" w:type="dxa"/>
              <w:start w:w="120" w:type="dxa"/>
              <w:end w:w="120" w:type="dxa"/>
            </w:tcMar>
          </w:tcPr>
          <w:p>
            <w:pPr>
              <w:spacing w:after="0"/>
            </w:pPr>
            <w:r>
              <w:rPr>
                <w:rFonts w:ascii="Calibri" w:hAnsi="Calibri"/>
                <w:b/>
                <w:i w:val="0"/>
                <w:color w:val="0B2545"/>
                <w:sz w:val="16"/>
              </w:rPr>
              <w:t>ID</w:t>
            </w:r>
          </w:p>
        </w:tc>
        <w:tc>
          <w:tcPr>
            <w:tcW w:type="dxa" w:w="8110"/>
            <w:shd w:fill="F2F4F7"/>
            <w:vAlign w:val="center"/>
            <w:tcMar>
              <w:top w:w="80" w:type="dxa"/>
              <w:bottom w:w="80" w:type="dxa"/>
              <w:start w:w="120" w:type="dxa"/>
              <w:end w:w="120" w:type="dxa"/>
            </w:tcMar>
          </w:tcPr>
          <w:p>
            <w:pPr>
              <w:spacing w:after="0"/>
            </w:pPr>
            <w:r>
              <w:rPr>
                <w:rFonts w:ascii="Calibri" w:hAnsi="Calibri"/>
                <w:b/>
                <w:i w:val="0"/>
                <w:color w:val="0B2545"/>
                <w:sz w:val="16"/>
              </w:rPr>
              <w:t>Acceptance criterion</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TR-AC-01</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Every period is Saturday through Friday; a Saturday capture records the preceding Friday as period end and its actual capture timestamp.</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TR-AC-02</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Entering a weekly source fact once updates every authorized Trends, Dashboard, Income Plan, tax and burndown view without duplicate user entry.</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TR-AC-03</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No bank-deposit information or bank-side reconciliation is required by the Trends workflow.</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TR-AC-04</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Weekly Profit reconciles to qualifying Investment Activity Ledger events and excludes unrealized change and non-ROI cash.</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TR-AC-05</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Each closed week preserves its planned monthly dividend run rate; later plan changes do not rewrite history.</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TR-AC-06</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Calendar-month totals use event dates and are correct when a business week crosses month end.</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TR-AC-07</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Gross distributions include withholding; net cash is separately reported; both reconcile to component facts.</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TR-AC-08</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 9 liquidity is calculated from effective position classifications, not a fixed 70% multiplier.</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TR-AC-09</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Car withdrawals do not create assumed ROC or taxable income. Tax classification comes from investment activity and forms.</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TR-AC-10</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SSA is stored by recipient as Social Security retirement with gross, net and deduction components; duplicate SSI is retired.</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TR-AC-11</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HSA medical distributions are captured as non-ROI transactions with qualified-medical status and feed both Trends and burndown.</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TR-AC-12</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Tax warnings compare owner-entered liability estimates with actual plus projected household withholding.</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TR-AC-13</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ACA warnings use effective-dated coverage-year, household-size and location rules plus actual YTD and projected remaining activity.</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TR-AC-14</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All automated actions, corrections and closed-period changes are auditable with actor, time, reason and before/after values.</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TR-AC-15</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Manual capture, structured paste/file import and future APIs all write the same canonical entities and produce identical downstream calculations.</w:t>
            </w:r>
          </w:p>
        </w:tc>
      </w:tr>
    </w:tbl>
    <w:p>
      <w:pPr>
        <w:spacing w:after="20"/>
      </w:pPr>
    </w:p>
    <w:p>
      <w:pPr>
        <w:pStyle w:val="Heading1"/>
      </w:pPr>
      <w:r>
        <w:t>12. Historical Migration and Implementation Boundaries</w:t>
      </w:r>
    </w:p>
    <w:p>
      <w:pPr>
        <w:pStyle w:val="ListBullet"/>
      </w:pPr>
      <w:r>
        <w:rPr>
          <w:rFonts w:ascii="Calibri" w:hAnsi="Calibri"/>
          <w:b w:val="0"/>
          <w:i w:val="0"/>
          <w:color w:val="0B2545"/>
          <w:sz w:val="22"/>
        </w:rPr>
        <w:t>Preserve existing Trends history as migrated weekly observations, including raw source labels and original values for audit.</w:t>
      </w:r>
    </w:p>
    <w:p>
      <w:pPr>
        <w:pStyle w:val="ListBullet"/>
      </w:pPr>
      <w:r>
        <w:rPr>
          <w:rFonts w:ascii="Calibri" w:hAnsi="Calibri"/>
          <w:b w:val="0"/>
          <w:i w:val="0"/>
          <w:color w:val="0B2545"/>
          <w:sz w:val="22"/>
        </w:rPr>
        <w:t>Where legacy dates do not align perfectly, map each row to the most defensible Saturday–Friday period and flag ambiguous exceptions; do not silently fabricate precision.</w:t>
      </w:r>
    </w:p>
    <w:p>
      <w:pPr>
        <w:pStyle w:val="ListBullet"/>
      </w:pPr>
      <w:r>
        <w:rPr>
          <w:rFonts w:ascii="Calibri" w:hAnsi="Calibri"/>
          <w:b w:val="0"/>
          <w:i w:val="0"/>
          <w:color w:val="0B2545"/>
          <w:sz w:val="22"/>
        </w:rPr>
        <w:t>Preserve legacy calculated values for comparison, but make target calculations authoritative after migration validation.</w:t>
      </w:r>
    </w:p>
    <w:p>
      <w:pPr>
        <w:pStyle w:val="ListBullet"/>
      </w:pPr>
      <w:r>
        <w:rPr>
          <w:rFonts w:ascii="Calibri" w:hAnsi="Calibri"/>
          <w:b w:val="0"/>
          <w:i w:val="0"/>
          <w:color w:val="0B2545"/>
          <w:sz w:val="22"/>
        </w:rPr>
        <w:t>Do not create duplicate ROI transactions from historical Trends Profit totals. Retain totals as legacy summaries when event-level lineage is unavailable.</w:t>
      </w:r>
    </w:p>
    <w:p>
      <w:pPr>
        <w:pStyle w:val="ListBullet"/>
      </w:pPr>
      <w:r>
        <w:rPr>
          <w:rFonts w:ascii="Calibri" w:hAnsi="Calibri"/>
          <w:b w:val="0"/>
          <w:i w:val="0"/>
          <w:color w:val="0B2545"/>
          <w:sz w:val="22"/>
        </w:rPr>
        <w:t>Do not infer bank deposits, transfers or tax classifications that are not present in the source evidence.</w:t>
      </w:r>
    </w:p>
    <w:p>
      <w:pPr>
        <w:pStyle w:val="ListBullet"/>
      </w:pPr>
      <w:r>
        <w:rPr>
          <w:rFonts w:ascii="Calibri" w:hAnsi="Calibri"/>
          <w:b w:val="0"/>
          <w:i w:val="0"/>
          <w:color w:val="0B2545"/>
          <w:sz w:val="22"/>
        </w:rPr>
        <w:t>APIs are an ingestion enhancement, not a prerequisite for the data model or application architecture.</w:t>
      </w:r>
    </w:p>
    <w:p>
      <w:r>
        <w:br w:type="page"/>
      </w:r>
    </w:p>
    <w:p>
      <w:pPr>
        <w:pStyle w:val="Heading1"/>
      </w:pPr>
      <w:r>
        <w:t>13. Final Design Decisions</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trPr>
        <w:tc>
          <w:tcPr>
            <w:tcW w:type="dxa" w:w="2450"/>
            <w:shd w:fill="F2F4F7"/>
            <w:vAlign w:val="center"/>
            <w:tcMar>
              <w:top w:w="80" w:type="dxa"/>
              <w:bottom w:w="80" w:type="dxa"/>
              <w:start w:w="120" w:type="dxa"/>
              <w:end w:w="120" w:type="dxa"/>
            </w:tcMar>
          </w:tcPr>
          <w:p>
            <w:pPr>
              <w:spacing w:after="0"/>
            </w:pPr>
            <w:r>
              <w:rPr>
                <w:rFonts w:ascii="Calibri" w:hAnsi="Calibri"/>
                <w:b/>
                <w:i w:val="0"/>
                <w:color w:val="0B2545"/>
                <w:sz w:val="17"/>
              </w:rPr>
              <w:t>Decision</w:t>
            </w:r>
          </w:p>
        </w:tc>
        <w:tc>
          <w:tcPr>
            <w:tcW w:type="dxa" w:w="6910"/>
            <w:shd w:fill="F2F4F7"/>
            <w:vAlign w:val="center"/>
            <w:tcMar>
              <w:top w:w="80" w:type="dxa"/>
              <w:bottom w:w="80" w:type="dxa"/>
              <w:start w:w="120" w:type="dxa"/>
              <w:end w:w="120" w:type="dxa"/>
            </w:tcMar>
          </w:tcPr>
          <w:p>
            <w:pPr>
              <w:spacing w:after="0"/>
            </w:pPr>
            <w:r>
              <w:rPr>
                <w:rFonts w:ascii="Calibri" w:hAnsi="Calibri"/>
                <w:b/>
                <w:i w:val="0"/>
                <w:color w:val="0B2545"/>
                <w:sz w:val="17"/>
              </w:rPr>
              <w:t>Approved result</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Business calendar</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Saturday through Friday everywhere; Friday period end, Saturday capture timestamp.</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Weekly Profit</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Realized Investment Activity Ledger activity only; all approved realized types included.</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Plan history</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Immutable weekly Income Plan snapshot; averages and deltas calculated from preserved history.</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Monthly totals</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Actual event/payment date determines calendar month.</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Input model</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Capture weekly source metrics once, then reuse throughout the database-backed application.</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Initial ingestion</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Efficient manual/structured capture now; APIs later through replaceable adapters.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Bank information</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No bank-deposit entry or reconciliation in Trends.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Distribution totals</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Gross includes withholding; net cash is a distinct measure.</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Tax authority</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Owner projections support warnings; final forms/return are authoritative.</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Design readiness</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No unresolved business decision blocks implementation of the Trends domain.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20" w:type="dxa"/>
              <w:bottom w:w="120" w:type="dxa"/>
              <w:start w:w="120" w:type="dxa"/>
              <w:end w:w="120" w:type="dxa"/>
            </w:tcMar>
            <w:shd w:fill="EAF4E2"/>
          </w:tcPr>
          <w:p>
            <w:pPr>
              <w:spacing w:after="0"/>
            </w:pPr>
            <w:r>
              <w:rPr>
                <w:rFonts w:ascii="Calibri" w:hAnsi="Calibri"/>
                <w:b/>
                <w:i w:val="0"/>
                <w:color w:val="315B24"/>
                <w:sz w:val="22"/>
              </w:rPr>
              <w:t xml:space="preserve">Conclusion: </w:t>
            </w:r>
            <w:r>
              <w:rPr>
                <w:rFonts w:ascii="Calibri" w:hAnsi="Calibri"/>
                <w:b w:val="0"/>
                <w:i w:val="0"/>
                <w:color w:val="315B24"/>
                <w:sz w:val="22"/>
              </w:rPr>
              <w:t>This document is the durable as-built and target-architecture specification for the Trends tab. It is complete enough to drive application data-model, service, interface, migration and acceptance-test design while remaining consistent with the other approved tab documents.</w:t>
            </w:r>
          </w:p>
        </w:tc>
      </w:tr>
    </w:tbl>
    <w:p>
      <w:pPr>
        <w:spacing w:after="20"/>
      </w:pPr>
    </w:p>
    <w:p>
      <w:r>
        <w:rPr>
          <w:rFonts w:ascii="Arial" w:hAnsi="Arial" w:eastAsia="Arial"/>
          <w:b/>
          <w:i w:val="0"/>
          <w:color w:val="1F4E79"/>
          <w:sz w:val="24"/>
        </w:rPr>
        <w:t>PROJECT LOCK DISPOSITION — 14 Aug 2026</w:t>
      </w:r>
    </w:p>
    <w:p>
      <w:r>
        <w:rPr>
          <w:rFonts w:ascii="Arial" w:hAnsi="Arial" w:eastAsia="Arial"/>
          <w:b/>
          <w:i w:val="0"/>
          <w:color w:val="006600"/>
          <w:sz w:val="22"/>
        </w:rPr>
        <w:t>Status: LOCKED — DESIGN COMPLETE. Authoritative Trends foundation for implementation.</w:t>
      </w:r>
    </w:p>
    <w:p>
      <w:r>
        <w:rPr>
          <w:rFonts w:ascii="Arial" w:hAnsi="Arial" w:eastAsia="Arial"/>
          <w:b w:val="0"/>
          <w:i/>
          <w:sz w:val="20"/>
        </w:rPr>
        <w:t>Accepted as accurate as-is reconstruction and target requirements. Subject to Cross-Cutting Business Requirements (BR-X) locked the same day.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B6573"/>
        <w:sz w:val="18"/>
      </w:rPr>
      <w:t>Finance Management Application | Trends and Weekly Financial Metrics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line="252"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Trends and Weekly Financial Metrics — Target Architecture</dc:title>
  <dc:subject>Current architecture, business process, formulas, data model and target requirements</dc:subject>
  <dc:creator>Finance Management Application Project</dc:creator>
  <cp:keywords>Trends, weekly metrics, distributions, tax projection, ACA, data model</cp:keywords>
  <dc:description>generated by python-docx</dc:description>
  <cp:lastModifiedBy/>
  <cp:revision>1</cp:revision>
  <dcterms:created xsi:type="dcterms:W3CDTF">2013-12-23T23:15:00Z</dcterms:created>
  <dcterms:modified xsi:type="dcterms:W3CDTF">2013-12-23T23:15:00Z</dcterms:modified>
  <cp:category/>
</cp:coreProperties>
</file>