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 w:before="0" w:line="276"/>
      </w:pPr>
      <w:r>
        <w:rPr>
          <w:rFonts w:ascii="Calibri" w:cs="Calibri" w:eastAsia="Calibri" w:hAnsi="Calibri"/>
          <w:b/>
          <w:bCs/>
          <w:i w:val="false"/>
          <w:iCs w:val="false"/>
          <w:color w:val="2E5090"/>
          <w:sz w:val="18"/>
          <w:szCs w:val="18"/>
        </w:rPr>
        <w:t xml:space="preserve">FINANCE MANAGEMENT SYSTEM</w:t>
      </w:r>
    </w:p>
    <w:p>
      <w:pPr>
        <w:spacing w:after="28" w:before="0" w:line="276"/>
      </w:pPr>
      <w:r>
        <w:rPr>
          <w:rFonts w:ascii="Calibri" w:cs="Calibri" w:eastAsia="Calibri" w:hAnsi="Calibri"/>
          <w:b/>
          <w:bCs/>
          <w:i w:val="false"/>
          <w:iCs w:val="false"/>
          <w:color w:val="1B365D"/>
          <w:sz w:val="30"/>
          <w:szCs w:val="30"/>
        </w:rPr>
        <w:t xml:space="preserve">Audit — collector implementation plan vs locked doc</w:t>
      </w:r>
    </w:p>
    <w:p>
      <w:pPr>
        <w:spacing w:after="110" w:before="0" w:line="276"/>
      </w:pPr>
      <w:r>
        <w:rPr>
          <w:rFonts w:ascii="Calibri" w:cs="Calibri" w:eastAsia="Calibri" w:hAnsi="Calibri"/>
          <w:b w:val="false"/>
          <w:bCs w:val="false"/>
          <w:i/>
          <w:iCs/>
          <w:color w:val="5B6B7B"/>
          <w:sz w:val="20"/>
          <w:szCs w:val="20"/>
        </w:rPr>
        <w:t xml:space="preserve">4 September 2026. Verdict: accept the plan with two required wording fixes before Cursor starts Phase 1. Do not treat this audit as a new lock. Authority remains Collector_Requirements_Initial_and_Runtime_Locked_2026-09-04.docx.</w:t>
      </w:r>
    </w:p>
    <w:p>
      <w:pPr>
        <w:pStyle w:val="Heading1"/>
        <w:pBdr>
          <w:bottom w:val="single" w:color="1B365D" w:sz="12" w:space="4"/>
        </w:pBdr>
        <w:spacing w:after="80" w:before="240"/>
      </w:pPr>
      <w:r>
        <w:rPr>
          <w:rFonts w:ascii="Calibri" w:cs="Calibri" w:eastAsia="Calibri" w:hAnsi="Calibri"/>
          <w:b/>
          <w:bCs/>
          <w:i w:val="false"/>
          <w:iCs w:val="false"/>
          <w:color w:val="1B365D"/>
          <w:sz w:val="28"/>
          <w:szCs w:val="28"/>
        </w:rPr>
        <w:t xml:space="preserve">Verdict</w:t>
      </w:r>
    </w:p>
    <w:p>
      <w:pPr>
        <w:spacing w:after="110" w:before="0" w:line="276"/>
      </w:pPr>
      <w:r>
        <w:rPr>
          <w:rFonts w:ascii="Calibri" w:cs="Calibri" w:eastAsia="Calibri" w:hAnsi="Calibri"/>
          <w:b w:val="false"/>
          <w:bCs w:val="false"/>
          <w:i w:val="false"/>
          <w:iCs w:val="false"/>
          <w:color w:val="222222"/>
          <w:sz w:val="22"/>
          <w:szCs w:val="22"/>
        </w:rPr>
        <w:t xml:space="preserve">The plan matches the finalized lock on the split that mattered: Saved ≠ complete ≠ lot; 19a-1 search first; paid rows need approval; remaining year derived once; 1099 is next year; last_run_ok is Step A only; CASH column stays; Add lots is offered not posted; backtest optional.</w:t>
      </w:r>
    </w:p>
    <w:p>
      <w:pPr>
        <w:spacing w:after="110" w:before="0" w:line="276"/>
      </w:pPr>
      <w:r>
        <w:rPr>
          <w:rFonts w:ascii="Calibri" w:cs="Calibri" w:eastAsia="Calibri" w:hAnsi="Calibri"/>
          <w:b w:val="false"/>
          <w:bCs w:val="false"/>
          <w:i w:val="false"/>
          <w:iCs w:val="false"/>
          <w:color w:val="222222"/>
          <w:sz w:val="22"/>
          <w:szCs w:val="22"/>
        </w:rPr>
        <w:t xml:space="preserve">Two sentences inside the plan still cancel each other. Fix those before Phase 1 or Cursor will ship “Skip = complete.”</w:t>
      </w:r>
    </w:p>
    <w:p>
      <w:pPr>
        <w:pStyle w:val="Heading1"/>
        <w:pBdr>
          <w:bottom w:val="single" w:color="1B365D" w:sz="12" w:space="4"/>
        </w:pBdr>
        <w:spacing w:after="80" w:before="240"/>
      </w:pPr>
      <w:r>
        <w:rPr>
          <w:rFonts w:ascii="Calibri" w:cs="Calibri" w:eastAsia="Calibri" w:hAnsi="Calibri"/>
          <w:b/>
          <w:bCs/>
          <w:i w:val="false"/>
          <w:iCs w:val="false"/>
          <w:color w:val="1B365D"/>
          <w:sz w:val="28"/>
          <w:szCs w:val="28"/>
        </w:rPr>
        <w:t xml:space="preserve">Must fix before Phase 1</w:t>
      </w:r>
    </w:p>
    <w:p>
      <w:pPr>
        <w:spacing w:after="110" w:before="0" w:line="276"/>
      </w:pPr>
      <w:r>
        <w:rPr>
          <w:rFonts w:ascii="Calibri" w:cs="Calibri" w:eastAsia="Calibri" w:hAnsi="Calibri"/>
          <w:b w:val="false"/>
          <w:bCs w:val="false"/>
          <w:i w:val="false"/>
          <w:iCs w:val="false"/>
          <w:color w:val="222222"/>
          <w:sz w:val="22"/>
          <w:szCs w:val="22"/>
        </w:rPr>
        <w:t xml:space="preserve">F1 — Skip is not complete. Conflict-resolution X1 and Phase 1 collector_is_complete say “every checklist field accepted or skipped.” Phase 2 says “Skip opens the matching ticket and blocks complete.” The lock and the flow diagram use Phase 2. Phase 1 predicate must say: required fields Accept (or owner-typed value). Skip on a required field = ticket + incomplete. Backtest Skip does not block. ROC Skip is not complete; ROC must be parsed or owner-typed.</w:t>
      </w:r>
    </w:p>
    <w:p>
      <w:pPr>
        <w:spacing w:after="110" w:before="0" w:line="276"/>
      </w:pPr>
      <w:r>
        <w:rPr>
          <w:rFonts w:ascii="Calibri" w:cs="Calibri" w:eastAsia="Calibri" w:hAnsi="Calibri"/>
          <w:b w:val="false"/>
          <w:bCs w:val="false"/>
          <w:i w:val="false"/>
          <w:iCs w:val="false"/>
          <w:color w:val="222222"/>
          <w:sz w:val="22"/>
          <w:szCs w:val="22"/>
        </w:rPr>
        <w:t xml:space="preserve">F2 — Remaining-year count is not 12 for a mid-year add. Phase 1 complete and Phase 3 tickets require remaining-year count = 4/12/52. A monthly name added in August should have remaining pays through 31 Dec (about 5), not 12. The lock cap is maximum planned events per calendar year, not “stub year must equal full year.” Complete/ticket rule: one planned payable per remaining period in the current year, and never more than 4/12/52 in that year.</w:t>
      </w:r>
    </w:p>
    <w:p>
      <w:pPr>
        <w:pStyle w:val="Heading1"/>
        <w:pBdr>
          <w:bottom w:val="single" w:color="1B365D" w:sz="12" w:space="4"/>
        </w:pBdr>
        <w:spacing w:after="80" w:before="240"/>
      </w:pPr>
      <w:r>
        <w:rPr>
          <w:rFonts w:ascii="Calibri" w:cs="Calibri" w:eastAsia="Calibri" w:hAnsi="Calibri"/>
          <w:b/>
          <w:bCs/>
          <w:i w:val="false"/>
          <w:iCs w:val="false"/>
          <w:color w:val="1B365D"/>
          <w:sz w:val="28"/>
          <w:szCs w:val="28"/>
        </w:rPr>
        <w:t xml:space="preserve">Aligned — accept</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4200"/>
        <w:gridCol w:w="6312"/>
      </w:tblGrid>
      <w:tr>
        <w:tc>
          <w:tcPr>
            <w:tcW w:type="dxa" w:w="4200"/>
            <w:shd w:fill="1B365D" w:val="clear"/>
            <w:tcMar>
              <w:top w:type="dxa" w:w="46"/>
              <w:left w:type="dxa" w:w="64"/>
              <w:bottom w:type="dxa" w:w="46"/>
              <w:right w:type="dxa" w:w="64"/>
            </w:tcMar>
            <w:vAlign w:val="top"/>
          </w:tcPr>
          <w:p>
            <w:r>
              <w:rPr>
                <w:rFonts w:ascii="Calibri" w:cs="Calibri" w:eastAsia="Calibri" w:hAnsi="Calibri"/>
                <w:b/>
                <w:bCs/>
                <w:i w:val="false"/>
                <w:iCs w:val="false"/>
                <w:color w:val="FFFFFF"/>
                <w:sz w:val="16"/>
                <w:szCs w:val="16"/>
              </w:rPr>
              <w:t xml:space="preserve">Plan item</w:t>
            </w:r>
          </w:p>
        </w:tc>
        <w:tc>
          <w:tcPr>
            <w:tcW w:type="dxa" w:w="6312"/>
            <w:shd w:fill="1B365D" w:val="clear"/>
            <w:tcMar>
              <w:top w:type="dxa" w:w="46"/>
              <w:left w:type="dxa" w:w="64"/>
              <w:bottom w:type="dxa" w:w="46"/>
              <w:right w:type="dxa" w:w="64"/>
            </w:tcMar>
            <w:vAlign w:val="top"/>
          </w:tcPr>
          <w:p>
            <w:r>
              <w:rPr>
                <w:rFonts w:ascii="Calibri" w:cs="Calibri" w:eastAsia="Calibri" w:hAnsi="Calibri"/>
                <w:b/>
                <w:bCs/>
                <w:i w:val="false"/>
                <w:iCs w:val="false"/>
                <w:color w:val="FFFFFF"/>
                <w:sz w:val="16"/>
                <w:szCs w:val="16"/>
              </w:rPr>
              <w:t xml:space="preserve">Lock</w:t>
            </w:r>
          </w:p>
        </w:tc>
      </w:tr>
      <w:tr>
        <w:tc>
          <w:tcPr>
            <w:tcW w:type="dxa" w:w="4200"/>
            <w:shd w:fill="FFFFFF" w:val="clear"/>
            <w:tcMar>
              <w:top w:type="dxa" w:w="46"/>
              <w:left w:type="dxa" w:w="64"/>
              <w:bottom w:type="dxa" w:w="46"/>
              <w:right w:type="dxa" w:w="64"/>
            </w:tcMar>
            <w:vAlign w:val="top"/>
          </w:tcPr>
          <w:p>
            <w:r>
              <w:rPr>
                <w:rFonts w:ascii="Calibri" w:cs="Calibri" w:eastAsia="Calibri" w:hAnsi="Calibri"/>
                <w:b w:val="false"/>
                <w:bCs w:val="false"/>
                <w:i w:val="false"/>
                <w:iCs w:val="false"/>
                <w:color w:val="222222"/>
                <w:sz w:val="16"/>
                <w:szCs w:val="16"/>
              </w:rPr>
              <w:t xml:space="preserve">X1 lot gate + grandfather</w:t>
            </w:r>
          </w:p>
        </w:tc>
        <w:tc>
          <w:tcPr>
            <w:tcW w:type="dxa" w:w="6312"/>
            <w:shd w:fill="FFFFFF" w:val="clear"/>
            <w:tcMar>
              <w:top w:type="dxa" w:w="46"/>
              <w:left w:type="dxa" w:w="64"/>
              <w:bottom w:type="dxa" w:w="46"/>
              <w:right w:type="dxa" w:w="64"/>
            </w:tcMar>
            <w:vAlign w:val="top"/>
          </w:tcPr>
          <w:p>
            <w:r>
              <w:rPr>
                <w:rFonts w:ascii="Calibri" w:cs="Calibri" w:eastAsia="Calibri" w:hAnsi="Calibri"/>
                <w:b w:val="false"/>
                <w:bCs w:val="false"/>
                <w:i w:val="false"/>
                <w:iCs w:val="false"/>
                <w:color w:val="222222"/>
                <w:sz w:val="16"/>
                <w:szCs w:val="16"/>
              </w:rPr>
              <w:t xml:space="preserve">§1.1 flow, §3.6, §5 Add lots</w:t>
            </w:r>
          </w:p>
        </w:tc>
      </w:tr>
      <w:tr>
        <w:tc>
          <w:tcPr>
            <w:tcW w:type="dxa" w:w="4200"/>
            <w:shd w:fill="F4F7FB" w:val="clear"/>
            <w:tcMar>
              <w:top w:type="dxa" w:w="46"/>
              <w:left w:type="dxa" w:w="64"/>
              <w:bottom w:type="dxa" w:w="46"/>
              <w:right w:type="dxa" w:w="64"/>
            </w:tcMar>
            <w:vAlign w:val="top"/>
          </w:tcPr>
          <w:p>
            <w:r>
              <w:rPr>
                <w:rFonts w:ascii="Calibri" w:cs="Calibri" w:eastAsia="Calibri" w:hAnsi="Calibri"/>
                <w:b w:val="false"/>
                <w:bCs w:val="false"/>
                <w:i w:val="false"/>
                <w:iCs w:val="false"/>
                <w:color w:val="222222"/>
                <w:sz w:val="16"/>
                <w:szCs w:val="16"/>
              </w:rPr>
              <w:t xml:space="preserve">X3 inception Yes/No</w:t>
            </w:r>
          </w:p>
        </w:tc>
        <w:tc>
          <w:tcPr>
            <w:tcW w:type="dxa" w:w="6312"/>
            <w:shd w:fill="F4F7FB" w:val="clear"/>
            <w:tcMar>
              <w:top w:type="dxa" w:w="46"/>
              <w:left w:type="dxa" w:w="64"/>
              <w:bottom w:type="dxa" w:w="46"/>
              <w:right w:type="dxa" w:w="64"/>
            </w:tcMar>
            <w:vAlign w:val="top"/>
          </w:tcPr>
          <w:p>
            <w:r>
              <w:rPr>
                <w:rFonts w:ascii="Calibri" w:cs="Calibri" w:eastAsia="Calibri" w:hAnsi="Calibri"/>
                <w:b w:val="false"/>
                <w:bCs w:val="false"/>
                <w:i w:val="false"/>
                <w:iCs w:val="false"/>
                <w:color w:val="222222"/>
                <w:sz w:val="16"/>
                <w:szCs w:val="16"/>
              </w:rPr>
              <w:t xml:space="preserve">§3.2</w:t>
            </w:r>
          </w:p>
        </w:tc>
      </w:tr>
      <w:tr>
        <w:tc>
          <w:tcPr>
            <w:tcW w:type="dxa" w:w="4200"/>
            <w:shd w:fill="FFFFFF" w:val="clear"/>
            <w:tcMar>
              <w:top w:type="dxa" w:w="46"/>
              <w:left w:type="dxa" w:w="64"/>
              <w:bottom w:type="dxa" w:w="46"/>
              <w:right w:type="dxa" w:w="64"/>
            </w:tcMar>
            <w:vAlign w:val="top"/>
          </w:tcPr>
          <w:p>
            <w:r>
              <w:rPr>
                <w:rFonts w:ascii="Calibri" w:cs="Calibri" w:eastAsia="Calibri" w:hAnsi="Calibri"/>
                <w:b w:val="false"/>
                <w:bCs w:val="false"/>
                <w:i w:val="false"/>
                <w:iCs w:val="false"/>
                <w:color w:val="222222"/>
                <w:sz w:val="16"/>
                <w:szCs w:val="16"/>
              </w:rPr>
              <w:t xml:space="preserve">X4 paid approval / unpaid date move</w:t>
            </w:r>
          </w:p>
        </w:tc>
        <w:tc>
          <w:tcPr>
            <w:tcW w:type="dxa" w:w="6312"/>
            <w:shd w:fill="FFFFFF" w:val="clear"/>
            <w:tcMar>
              <w:top w:type="dxa" w:w="46"/>
              <w:left w:type="dxa" w:w="64"/>
              <w:bottom w:type="dxa" w:w="46"/>
              <w:right w:type="dxa" w:w="64"/>
            </w:tcMar>
            <w:vAlign w:val="top"/>
          </w:tcPr>
          <w:p>
            <w:r>
              <w:rPr>
                <w:rFonts w:ascii="Calibri" w:cs="Calibri" w:eastAsia="Calibri" w:hAnsi="Calibri"/>
                <w:b w:val="false"/>
                <w:bCs w:val="false"/>
                <w:i w:val="false"/>
                <w:iCs w:val="false"/>
                <w:color w:val="222222"/>
                <w:sz w:val="16"/>
                <w:szCs w:val="16"/>
              </w:rPr>
              <w:t xml:space="preserve">§3.2, §3.3, §4.2</w:t>
            </w:r>
          </w:p>
        </w:tc>
      </w:tr>
      <w:tr>
        <w:tc>
          <w:tcPr>
            <w:tcW w:type="dxa" w:w="4200"/>
            <w:shd w:fill="F4F7FB" w:val="clear"/>
            <w:tcMar>
              <w:top w:type="dxa" w:w="46"/>
              <w:left w:type="dxa" w:w="64"/>
              <w:bottom w:type="dxa" w:w="46"/>
              <w:right w:type="dxa" w:w="64"/>
            </w:tcMar>
            <w:vAlign w:val="top"/>
          </w:tcPr>
          <w:p>
            <w:r>
              <w:rPr>
                <w:rFonts w:ascii="Calibri" w:cs="Calibri" w:eastAsia="Calibri" w:hAnsi="Calibri"/>
                <w:b w:val="false"/>
                <w:bCs w:val="false"/>
                <w:i w:val="false"/>
                <w:iCs w:val="false"/>
                <w:color w:val="222222"/>
                <w:sz w:val="16"/>
                <w:szCs w:val="16"/>
              </w:rPr>
              <w:t xml:space="preserve">X5 derive once</w:t>
            </w:r>
          </w:p>
        </w:tc>
        <w:tc>
          <w:tcPr>
            <w:tcW w:type="dxa" w:w="6312"/>
            <w:shd w:fill="F4F7FB" w:val="clear"/>
            <w:tcMar>
              <w:top w:type="dxa" w:w="46"/>
              <w:left w:type="dxa" w:w="64"/>
              <w:bottom w:type="dxa" w:w="46"/>
              <w:right w:type="dxa" w:w="64"/>
            </w:tcMar>
            <w:vAlign w:val="top"/>
          </w:tcPr>
          <w:p>
            <w:r>
              <w:rPr>
                <w:rFonts w:ascii="Calibri" w:cs="Calibri" w:eastAsia="Calibri" w:hAnsi="Calibri"/>
                <w:b w:val="false"/>
                <w:bCs w:val="false"/>
                <w:i w:val="false"/>
                <w:iCs w:val="false"/>
                <w:color w:val="222222"/>
                <w:sz w:val="16"/>
                <w:szCs w:val="16"/>
              </w:rPr>
              <w:t xml:space="preserve">§3.3</w:t>
            </w:r>
          </w:p>
        </w:tc>
      </w:tr>
      <w:tr>
        <w:tc>
          <w:tcPr>
            <w:tcW w:type="dxa" w:w="4200"/>
            <w:shd w:fill="FFFFFF" w:val="clear"/>
            <w:tcMar>
              <w:top w:type="dxa" w:w="46"/>
              <w:left w:type="dxa" w:w="64"/>
              <w:bottom w:type="dxa" w:w="46"/>
              <w:right w:type="dxa" w:w="64"/>
            </w:tcMar>
            <w:vAlign w:val="top"/>
          </w:tcPr>
          <w:p>
            <w:r>
              <w:rPr>
                <w:rFonts w:ascii="Calibri" w:cs="Calibri" w:eastAsia="Calibri" w:hAnsi="Calibri"/>
                <w:b w:val="false"/>
                <w:bCs w:val="false"/>
                <w:i w:val="false"/>
                <w:iCs w:val="false"/>
                <w:color w:val="222222"/>
                <w:sz w:val="16"/>
                <w:szCs w:val="16"/>
              </w:rPr>
              <w:t xml:space="preserve">X6 in-year 19a-1 not 1099</w:t>
            </w:r>
          </w:p>
        </w:tc>
        <w:tc>
          <w:tcPr>
            <w:tcW w:type="dxa" w:w="6312"/>
            <w:shd w:fill="FFFFFF" w:val="clear"/>
            <w:tcMar>
              <w:top w:type="dxa" w:w="46"/>
              <w:left w:type="dxa" w:w="64"/>
              <w:bottom w:type="dxa" w:w="46"/>
              <w:right w:type="dxa" w:w="64"/>
            </w:tcMar>
            <w:vAlign w:val="top"/>
          </w:tcPr>
          <w:p>
            <w:r>
              <w:rPr>
                <w:rFonts w:ascii="Calibri" w:cs="Calibri" w:eastAsia="Calibri" w:hAnsi="Calibri"/>
                <w:b w:val="false"/>
                <w:bCs w:val="false"/>
                <w:i w:val="false"/>
                <w:iCs w:val="false"/>
                <w:color w:val="222222"/>
                <w:sz w:val="16"/>
                <w:szCs w:val="16"/>
              </w:rPr>
              <w:t xml:space="preserve">§3.4, §4.3</w:t>
            </w:r>
          </w:p>
        </w:tc>
      </w:tr>
      <w:tr>
        <w:tc>
          <w:tcPr>
            <w:tcW w:type="dxa" w:w="4200"/>
            <w:shd w:fill="F4F7FB" w:val="clear"/>
            <w:tcMar>
              <w:top w:type="dxa" w:w="46"/>
              <w:left w:type="dxa" w:w="64"/>
              <w:bottom w:type="dxa" w:w="46"/>
              <w:right w:type="dxa" w:w="64"/>
            </w:tcMar>
            <w:vAlign w:val="top"/>
          </w:tcPr>
          <w:p>
            <w:r>
              <w:rPr>
                <w:rFonts w:ascii="Calibri" w:cs="Calibri" w:eastAsia="Calibri" w:hAnsi="Calibri"/>
                <w:b w:val="false"/>
                <w:bCs w:val="false"/>
                <w:i w:val="false"/>
                <w:iCs w:val="false"/>
                <w:color w:val="222222"/>
                <w:sz w:val="16"/>
                <w:szCs w:val="16"/>
              </w:rPr>
              <w:t xml:space="preserve">X8 last_run_ok = Step A</w:t>
            </w:r>
          </w:p>
        </w:tc>
        <w:tc>
          <w:tcPr>
            <w:tcW w:type="dxa" w:w="6312"/>
            <w:shd w:fill="F4F7FB" w:val="clear"/>
            <w:tcMar>
              <w:top w:type="dxa" w:w="46"/>
              <w:left w:type="dxa" w:w="64"/>
              <w:bottom w:type="dxa" w:w="46"/>
              <w:right w:type="dxa" w:w="64"/>
            </w:tcMar>
            <w:vAlign w:val="top"/>
          </w:tcPr>
          <w:p>
            <w:r>
              <w:rPr>
                <w:rFonts w:ascii="Calibri" w:cs="Calibri" w:eastAsia="Calibri" w:hAnsi="Calibri"/>
                <w:b w:val="false"/>
                <w:bCs w:val="false"/>
                <w:i w:val="false"/>
                <w:iCs w:val="false"/>
                <w:color w:val="222222"/>
                <w:sz w:val="16"/>
                <w:szCs w:val="16"/>
              </w:rPr>
              <w:t xml:space="preserve">§6 ban 3</w:t>
            </w:r>
          </w:p>
        </w:tc>
      </w:tr>
      <w:tr>
        <w:tc>
          <w:tcPr>
            <w:tcW w:type="dxa" w:w="4200"/>
            <w:shd w:fill="FFFFFF" w:val="clear"/>
            <w:tcMar>
              <w:top w:type="dxa" w:w="46"/>
              <w:left w:type="dxa" w:w="64"/>
              <w:bottom w:type="dxa" w:w="46"/>
              <w:right w:type="dxa" w:w="64"/>
            </w:tcMar>
            <w:vAlign w:val="top"/>
          </w:tcPr>
          <w:p>
            <w:r>
              <w:rPr>
                <w:rFonts w:ascii="Calibri" w:cs="Calibri" w:eastAsia="Calibri" w:hAnsi="Calibri"/>
                <w:b w:val="false"/>
                <w:bCs w:val="false"/>
                <w:i w:val="false"/>
                <w:iCs w:val="false"/>
                <w:color w:val="222222"/>
                <w:sz w:val="16"/>
                <w:szCs w:val="16"/>
              </w:rPr>
              <w:t xml:space="preserve">X9 CASH column / DIV-2 nickname</w:t>
            </w:r>
          </w:p>
        </w:tc>
        <w:tc>
          <w:tcPr>
            <w:tcW w:type="dxa" w:w="6312"/>
            <w:shd w:fill="FFFFFF" w:val="clear"/>
            <w:tcMar>
              <w:top w:type="dxa" w:w="46"/>
              <w:left w:type="dxa" w:w="64"/>
              <w:bottom w:type="dxa" w:w="46"/>
              <w:right w:type="dxa" w:w="64"/>
            </w:tcMar>
            <w:vAlign w:val="top"/>
          </w:tcPr>
          <w:p>
            <w:r>
              <w:rPr>
                <w:rFonts w:ascii="Calibri" w:cs="Calibri" w:eastAsia="Calibri" w:hAnsi="Calibri"/>
                <w:b w:val="false"/>
                <w:bCs w:val="false"/>
                <w:i w:val="false"/>
                <w:iCs w:val="false"/>
                <w:color w:val="222222"/>
                <w:sz w:val="16"/>
                <w:szCs w:val="16"/>
              </w:rPr>
              <w:t xml:space="preserve">§3.5</w:t>
            </w:r>
          </w:p>
        </w:tc>
      </w:tr>
      <w:tr>
        <w:tc>
          <w:tcPr>
            <w:tcW w:type="dxa" w:w="4200"/>
            <w:shd w:fill="F4F7FB" w:val="clear"/>
            <w:tcMar>
              <w:top w:type="dxa" w:w="46"/>
              <w:left w:type="dxa" w:w="64"/>
              <w:bottom w:type="dxa" w:w="46"/>
              <w:right w:type="dxa" w:w="64"/>
            </w:tcMar>
            <w:vAlign w:val="top"/>
          </w:tcPr>
          <w:p>
            <w:r>
              <w:rPr>
                <w:rFonts w:ascii="Calibri" w:cs="Calibri" w:eastAsia="Calibri" w:hAnsi="Calibri"/>
                <w:b w:val="false"/>
                <w:bCs w:val="false"/>
                <w:i w:val="false"/>
                <w:iCs w:val="false"/>
                <w:color w:val="222222"/>
                <w:sz w:val="16"/>
                <w:szCs w:val="16"/>
              </w:rPr>
              <w:t xml:space="preserve">X10 offer Add lots</w:t>
            </w:r>
          </w:p>
        </w:tc>
        <w:tc>
          <w:tcPr>
            <w:tcW w:type="dxa" w:w="6312"/>
            <w:shd w:fill="F4F7FB" w:val="clear"/>
            <w:tcMar>
              <w:top w:type="dxa" w:w="46"/>
              <w:left w:type="dxa" w:w="64"/>
              <w:bottom w:type="dxa" w:w="46"/>
              <w:right w:type="dxa" w:w="64"/>
            </w:tcMar>
            <w:vAlign w:val="top"/>
          </w:tcPr>
          <w:p>
            <w:r>
              <w:rPr>
                <w:rFonts w:ascii="Calibri" w:cs="Calibri" w:eastAsia="Calibri" w:hAnsi="Calibri"/>
                <w:b w:val="false"/>
                <w:bCs w:val="false"/>
                <w:i w:val="false"/>
                <w:iCs w:val="false"/>
                <w:color w:val="222222"/>
                <w:sz w:val="16"/>
                <w:szCs w:val="16"/>
              </w:rPr>
              <w:t xml:space="preserve">§1 item 9, §5</w:t>
            </w:r>
          </w:p>
        </w:tc>
      </w:tr>
      <w:tr>
        <w:tc>
          <w:tcPr>
            <w:tcW w:type="dxa" w:w="4200"/>
            <w:shd w:fill="FFFFFF" w:val="clear"/>
            <w:tcMar>
              <w:top w:type="dxa" w:w="46"/>
              <w:left w:type="dxa" w:w="64"/>
              <w:bottom w:type="dxa" w:w="46"/>
              <w:right w:type="dxa" w:w="64"/>
            </w:tcMar>
            <w:vAlign w:val="top"/>
          </w:tcPr>
          <w:p>
            <w:r>
              <w:rPr>
                <w:rFonts w:ascii="Calibri" w:cs="Calibri" w:eastAsia="Calibri" w:hAnsi="Calibri"/>
                <w:b w:val="false"/>
                <w:bCs w:val="false"/>
                <w:i w:val="false"/>
                <w:iCs w:val="false"/>
                <w:color w:val="222222"/>
                <w:sz w:val="16"/>
                <w:szCs w:val="16"/>
              </w:rPr>
              <w:t xml:space="preserve">X11 backtest optional</w:t>
            </w:r>
          </w:p>
        </w:tc>
        <w:tc>
          <w:tcPr>
            <w:tcW w:type="dxa" w:w="6312"/>
            <w:shd w:fill="FFFFFF" w:val="clear"/>
            <w:tcMar>
              <w:top w:type="dxa" w:w="46"/>
              <w:left w:type="dxa" w:w="64"/>
              <w:bottom w:type="dxa" w:w="46"/>
              <w:right w:type="dxa" w:w="64"/>
            </w:tcMar>
            <w:vAlign w:val="top"/>
          </w:tcPr>
          <w:p>
            <w:r>
              <w:rPr>
                <w:rFonts w:ascii="Calibri" w:cs="Calibri" w:eastAsia="Calibri" w:hAnsi="Calibri"/>
                <w:b w:val="false"/>
                <w:bCs w:val="false"/>
                <w:i w:val="false"/>
                <w:iCs w:val="false"/>
                <w:color w:val="222222"/>
                <w:sz w:val="16"/>
                <w:szCs w:val="16"/>
              </w:rPr>
              <w:t xml:space="preserve">§1 item 7</w:t>
            </w:r>
          </w:p>
        </w:tc>
      </w:tr>
      <w:tr>
        <w:tc>
          <w:tcPr>
            <w:tcW w:type="dxa" w:w="4200"/>
            <w:shd w:fill="F4F7FB" w:val="clear"/>
            <w:tcMar>
              <w:top w:type="dxa" w:w="46"/>
              <w:left w:type="dxa" w:w="64"/>
              <w:bottom w:type="dxa" w:w="46"/>
              <w:right w:type="dxa" w:w="64"/>
            </w:tcMar>
            <w:vAlign w:val="top"/>
          </w:tcPr>
          <w:p>
            <w:r>
              <w:rPr>
                <w:rFonts w:ascii="Calibri" w:cs="Calibri" w:eastAsia="Calibri" w:hAnsi="Calibri"/>
                <w:b w:val="false"/>
                <w:bCs w:val="false"/>
                <w:i w:val="false"/>
                <w:iCs w:val="false"/>
                <w:color w:val="222222"/>
                <w:sz w:val="16"/>
                <w:szCs w:val="16"/>
              </w:rPr>
              <w:t xml:space="preserve">X12 vendor + seed URL</w:t>
            </w:r>
          </w:p>
        </w:tc>
        <w:tc>
          <w:tcPr>
            <w:tcW w:type="dxa" w:w="6312"/>
            <w:shd w:fill="F4F7FB" w:val="clear"/>
            <w:tcMar>
              <w:top w:type="dxa" w:w="46"/>
              <w:left w:type="dxa" w:w="64"/>
              <w:bottom w:type="dxa" w:w="46"/>
              <w:right w:type="dxa" w:w="64"/>
            </w:tcMar>
            <w:vAlign w:val="top"/>
          </w:tcPr>
          <w:p>
            <w:r>
              <w:rPr>
                <w:rFonts w:ascii="Calibri" w:cs="Calibri" w:eastAsia="Calibri" w:hAnsi="Calibri"/>
                <w:b w:val="false"/>
                <w:bCs w:val="false"/>
                <w:i w:val="false"/>
                <w:iCs w:val="false"/>
                <w:color w:val="222222"/>
                <w:sz w:val="16"/>
                <w:szCs w:val="16"/>
              </w:rPr>
              <w:t xml:space="preserve">§1 maintain item 6</w:t>
            </w:r>
          </w:p>
        </w:tc>
      </w:tr>
      <w:tr>
        <w:tc>
          <w:tcPr>
            <w:tcW w:type="dxa" w:w="4200"/>
            <w:shd w:fill="FFFFFF" w:val="clear"/>
            <w:tcMar>
              <w:top w:type="dxa" w:w="46"/>
              <w:left w:type="dxa" w:w="64"/>
              <w:bottom w:type="dxa" w:w="46"/>
              <w:right w:type="dxa" w:w="64"/>
            </w:tcMar>
            <w:vAlign w:val="top"/>
          </w:tcPr>
          <w:p>
            <w:r>
              <w:rPr>
                <w:rFonts w:ascii="Calibri" w:cs="Calibri" w:eastAsia="Calibri" w:hAnsi="Calibri"/>
                <w:b w:val="false"/>
                <w:bCs w:val="false"/>
                <w:i w:val="false"/>
                <w:iCs w:val="false"/>
                <w:color w:val="222222"/>
                <w:sz w:val="16"/>
                <w:szCs w:val="16"/>
              </w:rPr>
              <w:t xml:space="preserve">Second URL, two tries, parked manual</w:t>
            </w:r>
          </w:p>
        </w:tc>
        <w:tc>
          <w:tcPr>
            <w:tcW w:type="dxa" w:w="6312"/>
            <w:shd w:fill="FFFFFF" w:val="clear"/>
            <w:tcMar>
              <w:top w:type="dxa" w:w="46"/>
              <w:left w:type="dxa" w:w="64"/>
              <w:bottom w:type="dxa" w:w="46"/>
              <w:right w:type="dxa" w:w="64"/>
            </w:tcMar>
            <w:vAlign w:val="top"/>
          </w:tcPr>
          <w:p>
            <w:r>
              <w:rPr>
                <w:rFonts w:ascii="Calibri" w:cs="Calibri" w:eastAsia="Calibri" w:hAnsi="Calibri"/>
                <w:b w:val="false"/>
                <w:bCs w:val="false"/>
                <w:i w:val="false"/>
                <w:iCs w:val="false"/>
                <w:color w:val="222222"/>
                <w:sz w:val="16"/>
                <w:szCs w:val="16"/>
              </w:rPr>
              <w:t xml:space="preserve">§3.1</w:t>
            </w:r>
          </w:p>
        </w:tc>
      </w:tr>
      <w:tr>
        <w:tc>
          <w:tcPr>
            <w:tcW w:type="dxa" w:w="4200"/>
            <w:shd w:fill="F4F7FB" w:val="clear"/>
            <w:tcMar>
              <w:top w:type="dxa" w:w="46"/>
              <w:left w:type="dxa" w:w="64"/>
              <w:bottom w:type="dxa" w:w="46"/>
              <w:right w:type="dxa" w:w="64"/>
            </w:tcMar>
            <w:vAlign w:val="top"/>
          </w:tcPr>
          <w:p>
            <w:r>
              <w:rPr>
                <w:rFonts w:ascii="Calibri" w:cs="Calibri" w:eastAsia="Calibri" w:hAnsi="Calibri"/>
                <w:b w:val="false"/>
                <w:bCs w:val="false"/>
                <w:i w:val="false"/>
                <w:iCs w:val="false"/>
                <w:color w:val="222222"/>
                <w:sz w:val="16"/>
                <w:szCs w:val="16"/>
              </w:rPr>
              <w:t xml:space="preserve">Persist parsed 0%; miss ≠ invent 0</w:t>
            </w:r>
          </w:p>
        </w:tc>
        <w:tc>
          <w:tcPr>
            <w:tcW w:type="dxa" w:w="6312"/>
            <w:shd w:fill="F4F7FB" w:val="clear"/>
            <w:tcMar>
              <w:top w:type="dxa" w:w="46"/>
              <w:left w:type="dxa" w:w="64"/>
              <w:bottom w:type="dxa" w:w="46"/>
              <w:right w:type="dxa" w:w="64"/>
            </w:tcMar>
            <w:vAlign w:val="top"/>
          </w:tcPr>
          <w:p>
            <w:r>
              <w:rPr>
                <w:rFonts w:ascii="Calibri" w:cs="Calibri" w:eastAsia="Calibri" w:hAnsi="Calibri"/>
                <w:b w:val="false"/>
                <w:bCs w:val="false"/>
                <w:i w:val="false"/>
                <w:iCs w:val="false"/>
                <w:color w:val="222222"/>
                <w:sz w:val="16"/>
                <w:szCs w:val="16"/>
              </w:rPr>
              <w:t xml:space="preserve">§3.4</w:t>
            </w:r>
          </w:p>
        </w:tc>
      </w:tr>
      <w:tr>
        <w:tc>
          <w:tcPr>
            <w:tcW w:type="dxa" w:w="4200"/>
            <w:shd w:fill="FFFFFF" w:val="clear"/>
            <w:tcMar>
              <w:top w:type="dxa" w:w="46"/>
              <w:left w:type="dxa" w:w="64"/>
              <w:bottom w:type="dxa" w:w="46"/>
              <w:right w:type="dxa" w:w="64"/>
            </w:tcMar>
            <w:vAlign w:val="top"/>
          </w:tcPr>
          <w:p>
            <w:r>
              <w:rPr>
                <w:rFonts w:ascii="Calibri" w:cs="Calibri" w:eastAsia="Calibri" w:hAnsi="Calibri"/>
                <w:b w:val="false"/>
                <w:bCs w:val="false"/>
                <w:i w:val="false"/>
                <w:iCs w:val="false"/>
                <w:color w:val="222222"/>
                <w:sz w:val="16"/>
                <w:szCs w:val="16"/>
              </w:rPr>
              <w:t xml:space="preserve">Open-lots-only runtime</w:t>
            </w:r>
          </w:p>
        </w:tc>
        <w:tc>
          <w:tcPr>
            <w:tcW w:type="dxa" w:w="6312"/>
            <w:shd w:fill="FFFFFF" w:val="clear"/>
            <w:tcMar>
              <w:top w:type="dxa" w:w="46"/>
              <w:left w:type="dxa" w:w="64"/>
              <w:bottom w:type="dxa" w:w="46"/>
              <w:right w:type="dxa" w:w="64"/>
            </w:tcMar>
            <w:vAlign w:val="top"/>
          </w:tcPr>
          <w:p>
            <w:r>
              <w:rPr>
                <w:rFonts w:ascii="Calibri" w:cs="Calibri" w:eastAsia="Calibri" w:hAnsi="Calibri"/>
                <w:b w:val="false"/>
                <w:bCs w:val="false"/>
                <w:i w:val="false"/>
                <w:iCs w:val="false"/>
                <w:color w:val="222222"/>
                <w:sz w:val="16"/>
                <w:szCs w:val="16"/>
              </w:rPr>
              <w:t xml:space="preserve">§4.1</w:t>
            </w:r>
          </w:p>
        </w:tc>
      </w:tr>
      <w:tr>
        <w:tc>
          <w:tcPr>
            <w:tcW w:type="dxa" w:w="4200"/>
            <w:shd w:fill="F4F7FB" w:val="clear"/>
            <w:tcMar>
              <w:top w:type="dxa" w:w="46"/>
              <w:left w:type="dxa" w:w="64"/>
              <w:bottom w:type="dxa" w:w="46"/>
              <w:right w:type="dxa" w:w="64"/>
            </w:tcMar>
            <w:vAlign w:val="top"/>
          </w:tcPr>
          <w:p>
            <w:r>
              <w:rPr>
                <w:rFonts w:ascii="Calibri" w:cs="Calibri" w:eastAsia="Calibri" w:hAnsi="Calibri"/>
                <w:b w:val="false"/>
                <w:bCs w:val="false"/>
                <w:i w:val="false"/>
                <w:iCs w:val="false"/>
                <w:color w:val="222222"/>
                <w:sz w:val="16"/>
                <w:szCs w:val="16"/>
              </w:rPr>
              <w:t xml:space="preserve">Three Income Plan amounts</w:t>
            </w:r>
          </w:p>
        </w:tc>
        <w:tc>
          <w:tcPr>
            <w:tcW w:type="dxa" w:w="6312"/>
            <w:shd w:fill="F4F7FB" w:val="clear"/>
            <w:tcMar>
              <w:top w:type="dxa" w:w="46"/>
              <w:left w:type="dxa" w:w="64"/>
              <w:bottom w:type="dxa" w:w="46"/>
              <w:right w:type="dxa" w:w="64"/>
            </w:tcMar>
            <w:vAlign w:val="top"/>
          </w:tcPr>
          <w:p>
            <w:r>
              <w:rPr>
                <w:rFonts w:ascii="Calibri" w:cs="Calibri" w:eastAsia="Calibri" w:hAnsi="Calibri"/>
                <w:b w:val="false"/>
                <w:bCs w:val="false"/>
                <w:i w:val="false"/>
                <w:iCs w:val="false"/>
                <w:color w:val="222222"/>
                <w:sz w:val="16"/>
                <w:szCs w:val="16"/>
              </w:rPr>
              <w:t xml:space="preserve">§4.5</w:t>
            </w:r>
          </w:p>
        </w:tc>
      </w:tr>
      <w:tr>
        <w:tc>
          <w:tcPr>
            <w:tcW w:type="dxa" w:w="4200"/>
            <w:shd w:fill="FFFFFF" w:val="clear"/>
            <w:tcMar>
              <w:top w:type="dxa" w:w="46"/>
              <w:left w:type="dxa" w:w="64"/>
              <w:bottom w:type="dxa" w:w="46"/>
              <w:right w:type="dxa" w:w="64"/>
            </w:tcMar>
            <w:vAlign w:val="top"/>
          </w:tcPr>
          <w:p>
            <w:r>
              <w:rPr>
                <w:rFonts w:ascii="Calibri" w:cs="Calibri" w:eastAsia="Calibri" w:hAnsi="Calibri"/>
                <w:b w:val="false"/>
                <w:bCs w:val="false"/>
                <w:i w:val="false"/>
                <w:iCs w:val="false"/>
                <w:color w:val="222222"/>
                <w:sz w:val="16"/>
                <w:szCs w:val="16"/>
              </w:rPr>
              <w:t xml:space="preserve">Force refresh = declarations only</w:t>
            </w:r>
          </w:p>
        </w:tc>
        <w:tc>
          <w:tcPr>
            <w:tcW w:type="dxa" w:w="6312"/>
            <w:shd w:fill="FFFFFF" w:val="clear"/>
            <w:tcMar>
              <w:top w:type="dxa" w:w="46"/>
              <w:left w:type="dxa" w:w="64"/>
              <w:bottom w:type="dxa" w:w="46"/>
              <w:right w:type="dxa" w:w="64"/>
            </w:tcMar>
            <w:vAlign w:val="top"/>
          </w:tcPr>
          <w:p>
            <w:r>
              <w:rPr>
                <w:rFonts w:ascii="Calibri" w:cs="Calibri" w:eastAsia="Calibri" w:hAnsi="Calibri"/>
                <w:b w:val="false"/>
                <w:bCs w:val="false"/>
                <w:i w:val="false"/>
                <w:iCs w:val="false"/>
                <w:color w:val="222222"/>
                <w:sz w:val="16"/>
                <w:szCs w:val="16"/>
              </w:rPr>
              <w:t xml:space="preserve">§5, §6</w:t>
            </w:r>
          </w:p>
        </w:tc>
      </w:tr>
      <w:tr>
        <w:tc>
          <w:tcPr>
            <w:tcW w:type="dxa" w:w="4200"/>
            <w:shd w:fill="F4F7FB" w:val="clear"/>
            <w:tcMar>
              <w:top w:type="dxa" w:w="46"/>
              <w:left w:type="dxa" w:w="64"/>
              <w:bottom w:type="dxa" w:w="46"/>
              <w:right w:type="dxa" w:w="64"/>
            </w:tcMar>
            <w:vAlign w:val="top"/>
          </w:tcPr>
          <w:p>
            <w:r>
              <w:rPr>
                <w:rFonts w:ascii="Calibri" w:cs="Calibri" w:eastAsia="Calibri" w:hAnsi="Calibri"/>
                <w:b w:val="false"/>
                <w:bCs w:val="false"/>
                <w:i w:val="false"/>
                <w:iCs w:val="false"/>
                <w:color w:val="222222"/>
                <w:sz w:val="16"/>
                <w:szCs w:val="16"/>
              </w:rPr>
              <w:t xml:space="preserve">HAKY fixture before adapter-complete claim</w:t>
            </w:r>
          </w:p>
        </w:tc>
        <w:tc>
          <w:tcPr>
            <w:tcW w:type="dxa" w:w="6312"/>
            <w:shd w:fill="F4F7FB" w:val="clear"/>
            <w:tcMar>
              <w:top w:type="dxa" w:w="46"/>
              <w:left w:type="dxa" w:w="64"/>
              <w:bottom w:type="dxa" w:w="46"/>
              <w:right w:type="dxa" w:w="64"/>
            </w:tcMar>
            <w:vAlign w:val="top"/>
          </w:tcPr>
          <w:p>
            <w:r>
              <w:rPr>
                <w:rFonts w:ascii="Calibri" w:cs="Calibri" w:eastAsia="Calibri" w:hAnsi="Calibri"/>
                <w:b w:val="false"/>
                <w:bCs w:val="false"/>
                <w:i w:val="false"/>
                <w:iCs w:val="false"/>
                <w:color w:val="222222"/>
                <w:sz w:val="16"/>
                <w:szCs w:val="16"/>
              </w:rPr>
              <w:t xml:space="preserve">still first live proof</w:t>
            </w:r>
          </w:p>
        </w:tc>
      </w:tr>
    </w:tbl>
    <w:p>
      <w:pPr>
        <w:pStyle w:val="Heading1"/>
        <w:pBdr>
          <w:bottom w:val="single" w:color="1B365D" w:sz="12" w:space="4"/>
        </w:pBdr>
        <w:spacing w:after="80" w:before="240"/>
      </w:pPr>
      <w:r>
        <w:rPr>
          <w:rFonts w:ascii="Calibri" w:cs="Calibri" w:eastAsia="Calibri" w:hAnsi="Calibri"/>
          <w:b/>
          <w:bCs/>
          <w:i w:val="false"/>
          <w:iCs w:val="false"/>
          <w:color w:val="1B365D"/>
          <w:sz w:val="28"/>
          <w:szCs w:val="28"/>
        </w:rPr>
        <w:t xml:space="preserve">Accept-with-change — already correct in the plan</w:t>
      </w:r>
    </w:p>
    <w:p>
      <w:pPr>
        <w:pStyle w:val="ListParagraph"/>
        <w:numPr>
          <w:ilvl w:val="0"/>
          <w:numId w:val="2"/>
        </w:numPr>
        <w:spacing w:after="50" w:line="255"/>
      </w:pPr>
      <w:r>
        <w:rPr>
          <w:rFonts w:ascii="Calibri" w:cs="Calibri" w:eastAsia="Calibri" w:hAnsi="Calibri"/>
          <w:b w:val="false"/>
          <w:bCs w:val="false"/>
          <w:i w:val="false"/>
          <w:iCs w:val="false"/>
          <w:color w:val="222222"/>
          <w:sz w:val="21"/>
          <w:szCs w:val="21"/>
        </w:rPr>
        <w:t xml:space="preserve">Same-payload re-parse, no second HTTP — matches 2 Sep C5. Keep.</w:t>
      </w:r>
    </w:p>
    <w:p>
      <w:pPr>
        <w:pStyle w:val="ListParagraph"/>
        <w:numPr>
          <w:ilvl w:val="0"/>
          <w:numId w:val="2"/>
        </w:numPr>
        <w:spacing w:after="50" w:line="255"/>
      </w:pPr>
      <w:r>
        <w:rPr>
          <w:rFonts w:ascii="Calibri" w:cs="Calibri" w:eastAsia="Calibri" w:hAnsi="Calibri"/>
          <w:b w:val="false"/>
          <w:bCs w:val="false"/>
          <w:i w:val="false"/>
          <w:iCs w:val="false"/>
          <w:color w:val="222222"/>
          <w:sz w:val="21"/>
          <w:szCs w:val="21"/>
        </w:rPr>
        <w:t xml:space="preserve">Reject “complete if ticket exists.” Keep.</w:t>
      </w:r>
    </w:p>
    <w:p>
      <w:pPr>
        <w:pStyle w:val="ListParagraph"/>
        <w:numPr>
          <w:ilvl w:val="0"/>
          <w:numId w:val="2"/>
        </w:numPr>
        <w:spacing w:after="50" w:line="255"/>
      </w:pPr>
      <w:r>
        <w:rPr>
          <w:rFonts w:ascii="Calibri" w:cs="Calibri" w:eastAsia="Calibri" w:hAnsi="Calibri"/>
          <w:b w:val="false"/>
          <w:bCs w:val="false"/>
          <w:i w:val="false"/>
          <w:iCs w:val="false"/>
          <w:color w:val="222222"/>
          <w:sz w:val="21"/>
          <w:szCs w:val="21"/>
        </w:rPr>
        <w:t xml:space="preserve">Do not auto-LotOpen. Keep.</w:t>
      </w:r>
    </w:p>
    <w:p>
      <w:pPr>
        <w:pStyle w:val="ListParagraph"/>
        <w:numPr>
          <w:ilvl w:val="0"/>
          <w:numId w:val="2"/>
        </w:numPr>
        <w:spacing w:after="50" w:line="255"/>
      </w:pPr>
      <w:r>
        <w:rPr>
          <w:rFonts w:ascii="Calibri" w:cs="Calibri" w:eastAsia="Calibri" w:hAnsi="Calibri"/>
          <w:b w:val="false"/>
          <w:bCs w:val="false"/>
          <w:i w:val="false"/>
          <w:iCs w:val="false"/>
          <w:color w:val="222222"/>
          <w:sz w:val="21"/>
          <w:szCs w:val="21"/>
        </w:rPr>
        <w:t xml:space="preserve">Keep Run enabled beside Run misses only. Keep.</w:t>
      </w:r>
    </w:p>
    <w:p>
      <w:pPr>
        <w:pStyle w:val="ListParagraph"/>
        <w:numPr>
          <w:ilvl w:val="0"/>
          <w:numId w:val="2"/>
        </w:numPr>
        <w:spacing w:after="50" w:line="255"/>
      </w:pPr>
      <w:r>
        <w:rPr>
          <w:rFonts w:ascii="Calibri" w:cs="Calibri" w:eastAsia="Calibri" w:hAnsi="Calibri"/>
          <w:b w:val="false"/>
          <w:bCs w:val="false"/>
          <w:i w:val="false"/>
          <w:iCs w:val="false"/>
          <w:color w:val="222222"/>
          <w:sz w:val="21"/>
          <w:szCs w:val="21"/>
        </w:rPr>
        <w:t xml:space="preserve">Guessed Amplify filenames last resort only. Keep.</w:t>
      </w:r>
    </w:p>
    <w:p>
      <w:pPr>
        <w:pStyle w:val="Heading1"/>
        <w:pBdr>
          <w:bottom w:val="single" w:color="1B365D" w:sz="12" w:space="4"/>
        </w:pBdr>
        <w:spacing w:after="80" w:before="240"/>
      </w:pPr>
      <w:r>
        <w:rPr>
          <w:rFonts w:ascii="Calibri" w:cs="Calibri" w:eastAsia="Calibri" w:hAnsi="Calibri"/>
          <w:b/>
          <w:bCs/>
          <w:i w:val="false"/>
          <w:iCs w:val="false"/>
          <w:color w:val="1B365D"/>
          <w:sz w:val="28"/>
          <w:szCs w:val="28"/>
        </w:rPr>
        <w:t xml:space="preserve">Reject list — correct</w:t>
      </w:r>
    </w:p>
    <w:p>
      <w:pPr>
        <w:spacing w:after="110" w:before="0" w:line="276"/>
      </w:pPr>
      <w:r>
        <w:rPr>
          <w:rFonts w:ascii="Calibri" w:cs="Calibri" w:eastAsia="Calibri" w:hAnsi="Calibri"/>
          <w:b w:val="false"/>
          <w:bCs w:val="false"/>
          <w:i w:val="false"/>
          <w:iCs w:val="false"/>
          <w:color w:val="222222"/>
          <w:sz w:val="22"/>
          <w:szCs w:val="22"/>
        </w:rPr>
        <w:t xml:space="preserve">Do not implement the unfinished sentence, rename CASH→DIV-2, wait for 1099, treat tickets as complete, Force-refresh for ROC, rebuild the year each collect, unpark manual adapter, harness-green as live ROC, fail last_run_ok on 19a-1 miss, require backtest, auto-apply tier.</w:t>
      </w:r>
    </w:p>
    <w:p>
      <w:pPr>
        <w:pStyle w:val="Heading1"/>
        <w:pBdr>
          <w:bottom w:val="single" w:color="1B365D" w:sz="12" w:space="4"/>
        </w:pBdr>
        <w:spacing w:after="80" w:before="240"/>
      </w:pPr>
      <w:r>
        <w:rPr>
          <w:rFonts w:ascii="Calibri" w:cs="Calibri" w:eastAsia="Calibri" w:hAnsi="Calibri"/>
          <w:b/>
          <w:bCs/>
          <w:i w:val="false"/>
          <w:iCs w:val="false"/>
          <w:color w:val="1B365D"/>
          <w:sz w:val="28"/>
          <w:szCs w:val="28"/>
        </w:rPr>
        <w:t xml:space="preserve">Soft issues — do not block Phase 1</w:t>
      </w:r>
    </w:p>
    <w:p>
      <w:pPr>
        <w:pStyle w:val="ListParagraph"/>
        <w:numPr>
          <w:ilvl w:val="0"/>
          <w:numId w:val="2"/>
        </w:numPr>
        <w:spacing w:after="50" w:line="255"/>
      </w:pPr>
      <w:r>
        <w:rPr>
          <w:rFonts w:ascii="Calibri" w:cs="Calibri" w:eastAsia="Calibri" w:hAnsi="Calibri"/>
          <w:b w:val="false"/>
          <w:bCs w:val="false"/>
          <w:i w:val="false"/>
          <w:iCs w:val="false"/>
          <w:color w:val="222222"/>
          <w:sz w:val="21"/>
          <w:szCs w:val="21"/>
        </w:rPr>
        <w:t xml:space="preserve">“roc_estimate_from_search_hits currently drops pct &gt; 0” is likely inverted. Confirm the live function drops 0 and keeps &gt;0 (or the opposite) before editing. Intent is: persist 0 only when the notice says 0.</w:t>
      </w:r>
    </w:p>
    <w:p>
      <w:pPr>
        <w:pStyle w:val="ListParagraph"/>
        <w:numPr>
          <w:ilvl w:val="0"/>
          <w:numId w:val="2"/>
        </w:numPr>
        <w:spacing w:after="50" w:line="255"/>
      </w:pPr>
      <w:r>
        <w:rPr>
          <w:rFonts w:ascii="Calibri" w:cs="Calibri" w:eastAsia="Calibri" w:hAnsi="Calibri"/>
          <w:b w:val="false"/>
          <w:bCs w:val="false"/>
          <w:i w:val="false"/>
          <w:iCs w:val="false"/>
          <w:color w:val="222222"/>
          <w:sz w:val="21"/>
          <w:szCs w:val="21"/>
        </w:rPr>
        <w:t xml:space="preserve">“Do not mark issuer adapters Done until fleet 0 miss AND every open payer has Income Plan amounts” mixes per-name complete with book-wide ops. Keep 0-miss as an ops Now item. Per-name complete is the Phase 1/2 gate.</w:t>
      </w:r>
    </w:p>
    <w:p>
      <w:pPr>
        <w:pStyle w:val="ListParagraph"/>
        <w:numPr>
          <w:ilvl w:val="0"/>
          <w:numId w:val="2"/>
        </w:numPr>
        <w:spacing w:after="50" w:line="255"/>
      </w:pPr>
      <w:r>
        <w:rPr>
          <w:rFonts w:ascii="Calibri" w:cs="Calibri" w:eastAsia="Calibri" w:hAnsi="Calibri"/>
          <w:b w:val="false"/>
          <w:bCs w:val="false"/>
          <w:i w:val="false"/>
          <w:iCs w:val="false"/>
          <w:color w:val="222222"/>
          <w:sz w:val="21"/>
          <w:szCs w:val="21"/>
        </w:rPr>
        <w:t xml:space="preserve">Phase 5 look-through generalization is right but must not delay Phase 1. HAKY 19a-1 parse fixture remains the first live proof of Step C.</w:t>
      </w:r>
    </w:p>
    <w:p>
      <w:pPr>
        <w:pStyle w:val="ListParagraph"/>
        <w:numPr>
          <w:ilvl w:val="0"/>
          <w:numId w:val="2"/>
        </w:numPr>
        <w:spacing w:after="50" w:line="255"/>
      </w:pPr>
      <w:r>
        <w:rPr>
          <w:rFonts w:ascii="Calibri" w:cs="Calibri" w:eastAsia="Calibri" w:hAnsi="Calibri"/>
          <w:b w:val="false"/>
          <w:bCs w:val="false"/>
          <w:i w:val="false"/>
          <w:iCs w:val="false"/>
          <w:color w:val="222222"/>
          <w:sz w:val="21"/>
          <w:szCs w:val="21"/>
        </w:rPr>
        <w:t xml:space="preserve">Characteristics checklist in the lock includes covered-call / leveraged display. Phase 5 covers it. Fine to ship after the gate.</w:t>
      </w:r>
    </w:p>
    <w:p>
      <w:pPr>
        <w:pStyle w:val="ListParagraph"/>
        <w:numPr>
          <w:ilvl w:val="0"/>
          <w:numId w:val="2"/>
        </w:numPr>
        <w:spacing w:after="50" w:line="255"/>
      </w:pPr>
      <w:r>
        <w:rPr>
          <w:rFonts w:ascii="Calibri" w:cs="Calibri" w:eastAsia="Calibri" w:hAnsi="Calibri"/>
          <w:b w:val="false"/>
          <w:bCs w:val="false"/>
          <w:i w:val="false"/>
          <w:iCs w:val="false"/>
          <w:color w:val="222222"/>
          <w:sz w:val="21"/>
          <w:szCs w:val="21"/>
        </w:rPr>
        <w:t xml:space="preserve">Progress spinner on Complete research already exists; no need to rebuild it.</w:t>
      </w:r>
    </w:p>
    <w:p>
      <w:pPr>
        <w:pStyle w:val="Heading1"/>
        <w:pBdr>
          <w:bottom w:val="single" w:color="1B365D" w:sz="12" w:space="4"/>
        </w:pBdr>
        <w:spacing w:after="80" w:before="240"/>
      </w:pPr>
      <w:r>
        <w:rPr>
          <w:rFonts w:ascii="Calibri" w:cs="Calibri" w:eastAsia="Calibri" w:hAnsi="Calibri"/>
          <w:b/>
          <w:bCs/>
          <w:i w:val="false"/>
          <w:iCs w:val="false"/>
          <w:color w:val="1B365D"/>
          <w:sz w:val="28"/>
          <w:szCs w:val="28"/>
        </w:rPr>
        <w:t xml:space="preserve">Phase order</w:t>
      </w:r>
    </w:p>
    <w:p>
      <w:pPr>
        <w:spacing w:after="110" w:before="0" w:line="276"/>
      </w:pPr>
      <w:r>
        <w:rPr>
          <w:rFonts w:ascii="Calibri" w:cs="Calibri" w:eastAsia="Calibri" w:hAnsi="Calibri"/>
          <w:b w:val="false"/>
          <w:bCs w:val="false"/>
          <w:i w:val="false"/>
          <w:iCs w:val="false"/>
          <w:color w:val="222222"/>
          <w:sz w:val="22"/>
          <w:szCs w:val="22"/>
        </w:rPr>
        <w:t xml:space="preserve">Phase 1 → 2 → 3 → 4 → 5 is the right order. Phase 1 without F1/F2 will block every mid-year add and treat Skip as done.</w:t>
      </w:r>
    </w:p>
    <w:p>
      <w:pPr>
        <w:spacing w:after="110" w:before="0" w:line="276"/>
      </w:pPr>
      <w:r>
        <w:rPr>
          <w:rFonts w:ascii="Calibri" w:cs="Calibri" w:eastAsia="Calibri" w:hAnsi="Calibri"/>
          <w:b w:val="false"/>
          <w:bCs w:val="false"/>
          <w:i w:val="false"/>
          <w:iCs w:val="false"/>
          <w:color w:val="222222"/>
          <w:sz w:val="22"/>
          <w:szCs w:val="22"/>
        </w:rPr>
        <w:t xml:space="preserve">Pass checks named in the plan are fine as compile/regression gates. Live proof for Step C remains HAKY Complete research showing a 2026 estimate or an explicit parse miss with URLs — not golden-harness green.</w:t>
      </w:r>
    </w:p>
    <w:p>
      <w:pPr>
        <w:pStyle w:val="Heading1"/>
        <w:pBdr>
          <w:bottom w:val="single" w:color="1B365D" w:sz="12" w:space="4"/>
        </w:pBdr>
        <w:spacing w:after="80" w:before="240"/>
      </w:pPr>
      <w:r>
        <w:rPr>
          <w:rFonts w:ascii="Calibri" w:cs="Calibri" w:eastAsia="Calibri" w:hAnsi="Calibri"/>
          <w:b/>
          <w:bCs/>
          <w:i w:val="false"/>
          <w:iCs w:val="false"/>
          <w:color w:val="1B365D"/>
          <w:sz w:val="28"/>
          <w:szCs w:val="28"/>
        </w:rPr>
        <w:t xml:space="preserve">Cursor one-liner to prepend</w:t>
      </w:r>
    </w:p>
    <w:p>
      <w:pPr>
        <w:spacing w:after="110" w:before="0" w:line="276"/>
      </w:pPr>
      <w:r>
        <w:rPr>
          <w:rFonts w:ascii="Calibri" w:cs="Calibri" w:eastAsia="Calibri" w:hAnsi="Calibri"/>
          <w:b w:val="false"/>
          <w:bCs w:val="false"/>
          <w:i w:val="false"/>
          <w:iCs w:val="false"/>
          <w:color w:val="222222"/>
          <w:sz w:val="22"/>
          <w:szCs w:val="22"/>
        </w:rPr>
        <w:t xml:space="preserve">Read Collector_Requirements_Initial_and_Runtime_Locked_2026-09-04.docx. Implement the plan with F1 and F2: required Skip ≠ complete; remaining-year count = remaining periods through 31 Dec, cap 4/12/52 per year. Start Phase 1 only.</w:t>
      </w:r>
    </w:p>
    <w:sectPr>
      <w:headerReference w:type="default" r:id="rId7"/>
      <w:footerReference w:type="default" r:id="rId8"/>
      <w:pgSz w:w="12240" w:h="15840" w:orient="portrait"/>
      <w:pgMar w:top="864" w:right="864" w:bottom="864" w:left="86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b w:val="false"/>
        <w:bCs w:val="false"/>
        <w:i w:val="false"/>
        <w:iCs w:val="false"/>
        <w:color w:val="5B6B7B"/>
        <w:sz w:val="16"/>
        <w:szCs w:val="16"/>
      </w:rPr>
      <w:t xml:space="preserve">Page </w:t>
    </w:r>
    <w:r>
      <w:rPr>
        <w:rFonts w:ascii="Calibri" w:cs="Calibri" w:eastAsia="Calibri" w:hAnsi="Calibri"/>
        <w:color w:val="5B6B7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Calibri" w:cs="Calibri" w:eastAsia="Calibri" w:hAnsi="Calibri"/>
        <w:b/>
        <w:bCs/>
        <w:i w:val="false"/>
        <w:iCs w:val="false"/>
        <w:color w:val="1B365D"/>
        <w:sz w:val="16"/>
        <w:szCs w:val="16"/>
      </w:rPr>
      <w:t xml:space="preserve">FINOS  </w:t>
    </w:r>
    <w:r>
      <w:rPr>
        <w:rFonts w:ascii="Calibri" w:cs="Calibri" w:eastAsia="Calibri" w:hAnsi="Calibri"/>
        <w:b w:val="false"/>
        <w:bCs w:val="false"/>
        <w:i w:val="false"/>
        <w:iCs w:val="false"/>
        <w:color w:val="5B6B7B"/>
        <w:sz w:val="16"/>
        <w:szCs w:val="16"/>
      </w:rPr>
      <w:t xml:space="preserve">Implementation plan audit vs collector lock — 4 Sep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240"/>
      <w:outlineLvl w:val="0"/>
    </w:pPr>
    <w:rPr>
      <w:rFonts w:ascii="Calibri" w:cs="Calibri" w:eastAsia="Calibri" w:hAnsi="Calibri"/>
      <w:b/>
      <w:bCs/>
      <w:color w:val="1B365D"/>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2026-09-04T23:31:15.510Z</dcterms:created>
  <dcterms:modified xsi:type="dcterms:W3CDTF">2026-09-04T23:31:15.510Z</dcterms:modified>
</cp:coreProperties>
</file>

<file path=docProps/custom.xml><?xml version="1.0" encoding="utf-8"?>
<Properties xmlns="http://schemas.openxmlformats.org/officeDocument/2006/custom-properties" xmlns:vt="http://schemas.openxmlformats.org/officeDocument/2006/docPropsVTypes"/>
</file>