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 w:before="0" w:line="276"/>
      </w:pPr>
      <w:r>
        <w:rPr>
          <w:rFonts w:ascii="Calibri" w:cs="Calibri" w:eastAsia="Calibri" w:hAnsi="Calibri"/>
          <w:b/>
          <w:bCs/>
          <w:i w:val="false"/>
          <w:iCs w:val="false"/>
          <w:color w:val="2E5090"/>
          <w:sz w:val="18"/>
          <w:szCs w:val="18"/>
        </w:rPr>
        <w:t xml:space="preserve">FINANCE MANAGEMENT SYSTEM</w:t>
      </w:r>
    </w:p>
    <w:p>
      <w:pPr>
        <w:spacing w:after="40" w:before="0" w:line="276"/>
      </w:pPr>
      <w:r>
        <w:rPr>
          <w:rFonts w:ascii="Calibri" w:cs="Calibri" w:eastAsia="Calibri" w:hAnsi="Calibri"/>
          <w:b/>
          <w:bCs/>
          <w:i w:val="false"/>
          <w:iCs w:val="false"/>
          <w:color w:val="1B365D"/>
          <w:sz w:val="36"/>
          <w:szCs w:val="36"/>
        </w:rPr>
        <w:t xml:space="preserve">Add Position — Research-first lock</w:t>
      </w:r>
    </w:p>
    <w:p>
      <w:pPr>
        <w:spacing w:after="140" w:before="0" w:line="276"/>
      </w:pPr>
      <w:r>
        <w:rPr>
          <w:rFonts w:ascii="Calibri" w:cs="Calibri" w:eastAsia="Calibri" w:hAnsi="Calibri"/>
          <w:b w:val="false"/>
          <w:bCs w:val="false"/>
          <w:i/>
          <w:iCs/>
          <w:color w:val="5B6B7B"/>
          <w:sz w:val="20"/>
          <w:szCs w:val="20"/>
        </w:rPr>
        <w:t xml:space="preserve">Owner lock 29 August 2026. Supersedes the 21 Aug wizard working paper for first-run add. Does not override V1.1, BR-X, dual-cost, unknown≠$0, or Plan-confirm rules.</w:t>
      </w:r>
    </w:p>
    <w:p>
      <w:pPr>
        <w:pStyle w:val="Heading1"/>
        <w:pBdr>
          <w:bottom w:val="single" w:color="1B365D" w:sz="12" w:space="4"/>
        </w:pBdr>
        <w:spacing w:after="120" w:before="280"/>
      </w:pPr>
      <w:r>
        <w:rPr>
          <w:rFonts w:ascii="Calibri" w:cs="Calibri" w:eastAsia="Calibri" w:hAnsi="Calibri"/>
          <w:b/>
          <w:bCs/>
          <w:i w:val="false"/>
          <w:iCs w:val="false"/>
          <w:color w:val="1B365D"/>
          <w:sz w:val="28"/>
          <w:szCs w:val="28"/>
        </w:rPr>
        <w:t xml:space="preserve">1. Two processes — never one form</w:t>
      </w:r>
    </w:p>
    <w:p>
      <w:pPr>
        <w:spacing w:after="140" w:before="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2"/>
          <w:szCs w:val="22"/>
        </w:rPr>
        <w:t xml:space="preserve">Adding a name and adding lots are separate. The current nine-step wizard is rejected because it asks the owner for research outputs (frequency, provider, risk, lots) before the system has retrieved anything.</w:t>
      </w:r>
    </w:p>
    <w:tbl>
      <w:tblPr>
        <w:tblW w:type="dxa" w:w="1051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600"/>
        <w:gridCol w:w="2800"/>
        <w:gridCol w:w="2912"/>
      </w:tblGrid>
      <w:tr>
        <w:tc>
          <w:tcPr>
            <w:tcW w:type="dxa" w:w="2200"/>
            <w:shd w:fill="1B365D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Process</w:t>
            </w:r>
          </w:p>
        </w:tc>
        <w:tc>
          <w:tcPr>
            <w:tcW w:type="dxa" w:w="2600"/>
            <w:shd w:fill="1B365D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Owner types</w:t>
            </w:r>
          </w:p>
        </w:tc>
        <w:tc>
          <w:tcPr>
            <w:tcW w:type="dxa" w:w="2800"/>
            <w:shd w:fill="1B365D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System does</w:t>
            </w:r>
          </w:p>
        </w:tc>
        <w:tc>
          <w:tcPr>
            <w:tcW w:type="dxa" w:w="2912"/>
            <w:shd w:fill="1B365D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Writes when</w:t>
            </w:r>
          </w:p>
        </w:tc>
      </w:tr>
      <w:tr>
        <w:tc>
          <w:tcPr>
            <w:tcW w:type="dxa" w:w="2200"/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A. Research position</w:t>
            </w:r>
          </w:p>
        </w:tc>
        <w:tc>
          <w:tcPr>
            <w:tcW w:type="dxa" w:w="2600"/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Symbol + distribution URL only</w:t>
            </w:r>
          </w:p>
        </w:tc>
        <w:tc>
          <w:tcPr>
            <w:tcW w:type="dxa" w:w="2800"/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Retrieve and propose characteristics, history, ROC, plan dates, suggested tier</w:t>
            </w:r>
          </w:p>
        </w:tc>
        <w:tc>
          <w:tcPr>
            <w:tcW w:type="dxa" w:w="2912"/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Identity + retrieval template + research observations. Not lots. Not confirmed Plan until owner Confirm.</w:t>
            </w:r>
          </w:p>
        </w:tc>
      </w:tr>
      <w:tr>
        <w:tc>
          <w:tcPr>
            <w:tcW w:type="dxa" w:w="2200"/>
            <w:shd w:fill="F4F7FB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B. Add lots</w:t>
            </w:r>
          </w:p>
        </w:tc>
        <w:tc>
          <w:tcPr>
            <w:tcW w:type="dxa" w:w="2600"/>
            <w:shd w:fill="F4F7FB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Account, date, qty, cost — only after A is in place</w:t>
            </w:r>
          </w:p>
        </w:tc>
        <w:tc>
          <w:tcPr>
            <w:tcW w:type="dxa" w:w="2800"/>
            <w:shd w:fill="F4F7FB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Propose nothing about the security</w:t>
            </w:r>
          </w:p>
        </w:tc>
        <w:tc>
          <w:tcPr>
            <w:tcW w:type="dxa" w:w="2912"/>
            <w:shd w:fill="F4F7FB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Open lots with dual cost. Distinct command path.</w:t>
            </w:r>
          </w:p>
        </w:tc>
      </w:tr>
    </w:tbl>
    <w:p>
      <w:pPr>
        <w:spacing w:after="140" w:before="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2"/>
          <w:szCs w:val="22"/>
        </w:rPr>
        <w:t xml:space="preserve">Process B is not step 8 of Process A. It starts only when the owner opens Add lots on an already researched name.</w:t>
      </w:r>
    </w:p>
    <w:p>
      <w:pPr>
        <w:pStyle w:val="Heading1"/>
        <w:pBdr>
          <w:bottom w:val="single" w:color="1B365D" w:sz="12" w:space="4"/>
        </w:pBdr>
        <w:spacing w:after="120" w:before="280"/>
      </w:pPr>
      <w:r>
        <w:rPr>
          <w:rFonts w:ascii="Calibri" w:cs="Calibri" w:eastAsia="Calibri" w:hAnsi="Calibri"/>
          <w:b/>
          <w:bCs/>
          <w:i w:val="false"/>
          <w:iCs w:val="false"/>
          <w:color w:val="1B365D"/>
          <w:sz w:val="28"/>
          <w:szCs w:val="28"/>
        </w:rPr>
        <w:t xml:space="preserve">2. Process A — owner seed (locked example)</w:t>
      </w:r>
    </w:p>
    <w:tbl>
      <w:tblPr>
        <w:tblW w:type="dxa" w:w="1051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800"/>
        <w:gridCol w:w="3200"/>
        <w:gridCol w:w="3112"/>
      </w:tblGrid>
      <w:tr>
        <w:tc>
          <w:tcPr>
            <w:tcW w:type="dxa" w:w="2400"/>
            <w:shd w:fill="1B365D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1800"/>
            <w:shd w:fill="1B365D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Required?</w:t>
            </w:r>
          </w:p>
        </w:tc>
        <w:tc>
          <w:tcPr>
            <w:tcW w:type="dxa" w:w="3200"/>
            <w:shd w:fill="1B365D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Example</w:t>
            </w:r>
          </w:p>
        </w:tc>
        <w:tc>
          <w:tcPr>
            <w:tcW w:type="dxa" w:w="3112"/>
            <w:shd w:fill="1B365D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Rule</w:t>
            </w:r>
          </w:p>
        </w:tc>
      </w:tr>
      <w:tr>
        <w:tc>
          <w:tcPr>
            <w:tcW w:type="dxa" w:w="2400"/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Symbol / name</w:t>
            </w:r>
          </w:p>
        </w:tc>
        <w:tc>
          <w:tcPr>
            <w:tcW w:type="dxa" w:w="1800"/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Yes</w:t>
            </w:r>
          </w:p>
        </w:tc>
        <w:tc>
          <w:tcPr>
            <w:tcW w:type="dxa" w:w="3200"/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HAKY</w:t>
            </w:r>
          </w:p>
        </w:tc>
        <w:tc>
          <w:tcPr>
            <w:tcW w:type="dxa" w:w="3112"/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Identity seed. System-assigned investment id is the key; symbol may change later.</w:t>
            </w:r>
          </w:p>
        </w:tc>
      </w:tr>
      <w:tr>
        <w:tc>
          <w:tcPr>
            <w:tcW w:type="dxa" w:w="2400"/>
            <w:shd w:fill="F4F7FB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Distribution / declaration URL</w:t>
            </w:r>
          </w:p>
        </w:tc>
        <w:tc>
          <w:tcPr>
            <w:tcW w:type="dxa" w:w="1800"/>
            <w:shd w:fill="F4F7FB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Yes for first-run research</w:t>
            </w:r>
          </w:p>
        </w:tc>
        <w:tc>
          <w:tcPr>
            <w:tcW w:type="dxa" w:w="3200"/>
            <w:shd w:fill="F4F7FB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https://amplifyetfs.com/haky/#distributions</w:t>
            </w:r>
          </w:p>
        </w:tc>
        <w:tc>
          <w:tcPr>
            <w:tcW w:type="dxa" w:w="3112"/>
            <w:shd w:fill="F4F7FB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Standing issuer-declaration source. Saved on the retrieval template. Not a one-shot paste.</w:t>
            </w:r>
          </w:p>
        </w:tc>
      </w:tr>
      <w:tr>
        <w:tc>
          <w:tcPr>
            <w:tcW w:type="dxa" w:w="2400"/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Risk / tier</w:t>
            </w:r>
          </w:p>
        </w:tc>
        <w:tc>
          <w:tcPr>
            <w:tcW w:type="dxa" w:w="1800"/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No</w:t>
            </w:r>
          </w:p>
        </w:tc>
        <w:tc>
          <w:tcPr>
            <w:tcW w:type="dxa" w:w="3200"/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—</w:t>
            </w:r>
          </w:p>
        </w:tc>
        <w:tc>
          <w:tcPr>
            <w:tcW w:type="dxa" w:w="3112"/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Do not ask. System may later suggest Foundation / Core / Risk On.</w:t>
            </w:r>
          </w:p>
        </w:tc>
      </w:tr>
      <w:tr>
        <w:tc>
          <w:tcPr>
            <w:tcW w:type="dxa" w:w="2400"/>
            <w:shd w:fill="F4F7FB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Lots / account / qty / cost</w:t>
            </w:r>
          </w:p>
        </w:tc>
        <w:tc>
          <w:tcPr>
            <w:tcW w:type="dxa" w:w="1800"/>
            <w:shd w:fill="F4F7FB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No</w:t>
            </w:r>
          </w:p>
        </w:tc>
        <w:tc>
          <w:tcPr>
            <w:tcW w:type="dxa" w:w="3200"/>
            <w:shd w:fill="F4F7FB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—</w:t>
            </w:r>
          </w:p>
        </w:tc>
        <w:tc>
          <w:tcPr>
            <w:tcW w:type="dxa" w:w="3112"/>
            <w:shd w:fill="F4F7FB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Forbidden on Process A. That is Process B.</w:t>
            </w:r>
          </w:p>
        </w:tc>
      </w:tr>
      <w:tr>
        <w:tc>
          <w:tcPr>
            <w:tcW w:type="dxa" w:w="2400"/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Frequency, provider name, weekdays, Plan $/share, ROC %</w:t>
            </w:r>
          </w:p>
        </w:tc>
        <w:tc>
          <w:tcPr>
            <w:tcW w:type="dxa" w:w="1800"/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No</w:t>
            </w:r>
          </w:p>
        </w:tc>
        <w:tc>
          <w:tcPr>
            <w:tcW w:type="dxa" w:w="3200"/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—</w:t>
            </w:r>
          </w:p>
        </w:tc>
        <w:tc>
          <w:tcPr>
            <w:tcW w:type="dxa" w:w="3112"/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Research outputs. Owner may correct after retrieve, not invent up front.</w:t>
            </w:r>
          </w:p>
        </w:tc>
      </w:tr>
    </w:tbl>
    <w:p>
      <w:pPr>
        <w:pStyle w:val="Heading1"/>
        <w:pBdr>
          <w:bottom w:val="single" w:color="1B365D" w:sz="12" w:space="4"/>
        </w:pBdr>
        <w:spacing w:after="120" w:before="280"/>
      </w:pPr>
      <w:r>
        <w:rPr>
          <w:rFonts w:ascii="Calibri" w:cs="Calibri" w:eastAsia="Calibri" w:hAnsi="Calibri"/>
          <w:b/>
          <w:bCs/>
          <w:i w:val="false"/>
          <w:iCs w:val="false"/>
          <w:color w:val="1B365D"/>
          <w:sz w:val="28"/>
          <w:szCs w:val="28"/>
        </w:rPr>
        <w:t xml:space="preserve">3. Process A — what the system must research</w:t>
      </w:r>
    </w:p>
    <w:p>
      <w:pPr>
        <w:spacing w:after="140" w:before="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2"/>
          <w:szCs w:val="22"/>
        </w:rPr>
        <w:t xml:space="preserve">After seed, the system runs the same retrieve paths already used by Collectors and Last Price. It does not open a five-page questionnaire. A miss stays unknown. A miss is never $0 and never a prompt that forces the owner to type the missing fact to continue.</w:t>
      </w:r>
    </w:p>
    <w:tbl>
      <w:tblPr>
        <w:tblW w:type="dxa" w:w="1051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4000"/>
        <w:gridCol w:w="3712"/>
      </w:tblGrid>
      <w:tr>
        <w:tc>
          <w:tcPr>
            <w:tcW w:type="dxa" w:w="2800"/>
            <w:shd w:fill="1B365D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Research product</w:t>
            </w:r>
          </w:p>
        </w:tc>
        <w:tc>
          <w:tcPr>
            <w:tcW w:type="dxa" w:w="4000"/>
            <w:shd w:fill="1B365D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Source of truth</w:t>
            </w:r>
          </w:p>
        </w:tc>
        <w:tc>
          <w:tcPr>
            <w:tcW w:type="dxa" w:w="3712"/>
            <w:shd w:fill="1B365D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Shown as</w:t>
            </w:r>
          </w:p>
        </w:tc>
      </w:tr>
      <w:tr>
        <w:tc>
          <w:tcPr>
            <w:tcW w:type="dxa" w:w="2800"/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Provider / issuer and instrument type</w:t>
            </w:r>
          </w:p>
        </w:tc>
        <w:tc>
          <w:tcPr>
            <w:tcW w:type="dxa" w:w="4000"/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URL host + page + known adapter map (Amplify for this example)</w:t>
            </w:r>
          </w:p>
        </w:tc>
        <w:tc>
          <w:tcPr>
            <w:tcW w:type="dxa" w:w="3712"/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Filled or unknown</w:t>
            </w:r>
          </w:p>
        </w:tc>
      </w:tr>
      <w:tr>
        <w:tc>
          <w:tcPr>
            <w:tcW w:type="dxa" w:w="2800"/>
            <w:shd w:fill="F4F7FB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Underlying / exposures</w:t>
            </w:r>
          </w:p>
        </w:tc>
        <w:tc>
          <w:tcPr>
            <w:tcW w:type="dxa" w:w="4000"/>
            <w:shd w:fill="F4F7FB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Issuer page / prospectus / characteristics research</w:t>
            </w:r>
          </w:p>
        </w:tc>
        <w:tc>
          <w:tcPr>
            <w:tcW w:type="dxa" w:w="3712"/>
            <w:shd w:fill="F4F7FB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Recommendation; owner may accept or edit</w:t>
            </w:r>
          </w:p>
        </w:tc>
      </w:tr>
      <w:tr>
        <w:tc>
          <w:tcPr>
            <w:tcW w:type="dxa" w:w="2800"/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Payment frequency</w:t>
            </w:r>
          </w:p>
        </w:tc>
        <w:tc>
          <w:tcPr>
            <w:tcW w:type="dxa" w:w="4000"/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Declaration calendar on the URL (count and spacing of paid rows)</w:t>
            </w:r>
          </w:p>
        </w:tc>
        <w:tc>
          <w:tcPr>
            <w:tcW w:type="dxa" w:w="3712"/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Weekly / Monthly / Quarterly / None, or unknown</w:t>
            </w:r>
          </w:p>
        </w:tc>
      </w:tr>
      <w:tr>
        <w:tc>
          <w:tcPr>
            <w:tcW w:type="dxa" w:w="2800"/>
            <w:shd w:fill="F4F7FB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Distribution history</w:t>
            </w:r>
          </w:p>
        </w:tc>
        <w:tc>
          <w:tcPr>
            <w:tcW w:type="dxa" w:w="4000"/>
            <w:shd w:fill="F4F7FB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Last 12 paid declarations from that URL (existing 12-observation lock)</w:t>
            </w:r>
          </w:p>
        </w:tc>
        <w:tc>
          <w:tcPr>
            <w:tcW w:type="dxa" w:w="3712"/>
            <w:shd w:fill="F4F7FB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Grid; blank ≠ $0</w:t>
            </w:r>
          </w:p>
        </w:tc>
      </w:tr>
      <w:tr>
        <w:tc>
          <w:tcPr>
            <w:tcW w:type="dxa" w:w="2800"/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Future plan dates / remaining-year schedule</w:t>
            </w:r>
          </w:p>
        </w:tc>
        <w:tc>
          <w:tcPr>
            <w:tcW w:type="dxa" w:w="4000"/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Latest parseable pay date + frequency + issuer calendar when present</w:t>
            </w:r>
          </w:p>
        </w:tc>
        <w:tc>
          <w:tcPr>
            <w:tcW w:type="dxa" w:w="3712"/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Dates known or unknown; empty months blank</w:t>
            </w:r>
          </w:p>
        </w:tc>
      </w:tr>
      <w:tr>
        <w:tc>
          <w:tcPr>
            <w:tcW w:type="dxa" w:w="2800"/>
            <w:shd w:fill="F4F7FB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Suggested Plan $/share</w:t>
            </w:r>
          </w:p>
        </w:tc>
        <w:tc>
          <w:tcPr>
            <w:tcW w:type="dxa" w:w="4000"/>
            <w:shd w:fill="F4F7FB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Most Current / Avg 6 from loaded history (existing Calculator rules)</w:t>
            </w:r>
          </w:p>
        </w:tc>
        <w:tc>
          <w:tcPr>
            <w:tcW w:type="dxa" w:w="3712"/>
            <w:shd w:fill="F4F7FB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Suggestion only. PlanHistory writes only on owner Confirm.</w:t>
            </w:r>
          </w:p>
        </w:tc>
      </w:tr>
      <w:tr>
        <w:tc>
          <w:tcPr>
            <w:tcW w:type="dxa" w:w="2800"/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Last price</w:t>
            </w:r>
          </w:p>
        </w:tc>
        <w:tc>
          <w:tcPr>
            <w:tcW w:type="dxa" w:w="4000"/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Price retrieve / last accepted quote</w:t>
            </w:r>
          </w:p>
        </w:tc>
        <w:tc>
          <w:tcPr>
            <w:tcW w:type="dxa" w:w="3712"/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Current, stale, override, or unavailable — never silent $0</w:t>
            </w:r>
          </w:p>
        </w:tc>
      </w:tr>
      <w:tr>
        <w:tc>
          <w:tcPr>
            <w:tcW w:type="dxa" w:w="2800"/>
            <w:shd w:fill="F4F7FB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ROC forecast / research strip</w:t>
            </w:r>
          </w:p>
        </w:tc>
        <w:tc>
          <w:tcPr>
            <w:tcW w:type="dxa" w:w="4000"/>
            <w:shd w:fill="F4F7FB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19a-1 / prior actual / template observations; Car in-scope rules unchanged</w:t>
            </w:r>
          </w:p>
        </w:tc>
        <w:tc>
          <w:tcPr>
            <w:tcW w:type="dxa" w:w="3712"/>
            <w:shd w:fill="F4F7FB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complete / estimate-only / missing-1099 / not-in-scope / unknown</w:t>
            </w:r>
          </w:p>
        </w:tc>
      </w:tr>
      <w:tr>
        <w:tc>
          <w:tcPr>
            <w:tcW w:type="dxa" w:w="2800"/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Suggested tier and risk notes</w:t>
            </w:r>
          </w:p>
        </w:tc>
        <w:tc>
          <w:tcPr>
            <w:tcW w:type="dxa" w:w="4000"/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Evidence dimensions already specified on Position Details</w:t>
            </w:r>
          </w:p>
        </w:tc>
        <w:tc>
          <w:tcPr>
            <w:tcW w:type="dxa" w:w="3712"/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Suggestion only. No auto-Apply.</w:t>
            </w:r>
          </w:p>
        </w:tc>
      </w:tr>
    </w:tbl>
    <w:p>
      <w:pPr>
        <w:pStyle w:val="Heading1"/>
        <w:pBdr>
          <w:bottom w:val="single" w:color="1B365D" w:sz="12" w:space="4"/>
        </w:pBdr>
        <w:spacing w:after="120" w:before="280"/>
      </w:pPr>
      <w:r>
        <w:rPr>
          <w:rFonts w:ascii="Calibri" w:cs="Calibri" w:eastAsia="Calibri" w:hAnsi="Calibri"/>
          <w:b/>
          <w:bCs/>
          <w:i w:val="false"/>
          <w:iCs w:val="false"/>
          <w:color w:val="1B365D"/>
          <w:sz w:val="28"/>
          <w:szCs w:val="28"/>
        </w:rPr>
        <w:t xml:space="preserve">4. What gets stored vs what waits for Confirm</w:t>
      </w:r>
    </w:p>
    <w:p>
      <w:pPr>
        <w:pStyle w:val="ListParagraph"/>
        <w:numPr>
          <w:ilvl w:val="0"/>
          <w:numId w:val="2"/>
        </w:numPr>
        <w:spacing w:after="70" w:line="2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1"/>
          <w:szCs w:val="21"/>
        </w:rPr>
        <w:t xml:space="preserve">May persist immediately: investment identity, symbol, retrieval template (the URL), retrieve-run evidence, declaration candidates that passed validate, last-price quote if accepted, research notes marked suggestion.</w:t>
      </w:r>
    </w:p>
    <w:p>
      <w:pPr>
        <w:pStyle w:val="ListParagraph"/>
        <w:numPr>
          <w:ilvl w:val="0"/>
          <w:numId w:val="2"/>
        </w:numPr>
        <w:spacing w:after="70" w:line="2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1"/>
          <w:szCs w:val="21"/>
        </w:rPr>
        <w:t xml:space="preserve">Must not persist as owner fact until Confirm: Plan $/share, tier, frequency if the owner is correcting a suggestion, ROC percent used for MAGI.</w:t>
      </w:r>
    </w:p>
    <w:p>
      <w:pPr>
        <w:pStyle w:val="ListParagraph"/>
        <w:numPr>
          <w:ilvl w:val="0"/>
          <w:numId w:val="2"/>
        </w:numPr>
        <w:spacing w:after="70" w:line="2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1"/>
          <w:szCs w:val="21"/>
        </w:rPr>
        <w:t xml:space="preserve">Must never persist on Process A: lots, cash, Income Plan dollars, allocations, cart fills.</w:t>
      </w:r>
    </w:p>
    <w:p>
      <w:pPr>
        <w:pStyle w:val="ListParagraph"/>
        <w:numPr>
          <w:ilvl w:val="0"/>
          <w:numId w:val="2"/>
        </w:numPr>
        <w:spacing w:after="70" w:line="2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1"/>
          <w:szCs w:val="21"/>
        </w:rPr>
        <w:t xml:space="preserve">Unknown fields stay visible. The research process can finish with holes. Completeness is a strip, not a blocker that sends the owner back to type frequency.</w:t>
      </w:r>
    </w:p>
    <w:p>
      <w:pPr>
        <w:pStyle w:val="Heading1"/>
        <w:pBdr>
          <w:bottom w:val="single" w:color="1B365D" w:sz="12" w:space="4"/>
        </w:pBdr>
        <w:spacing w:after="120" w:before="280"/>
      </w:pPr>
      <w:r>
        <w:rPr>
          <w:rFonts w:ascii="Calibri" w:cs="Calibri" w:eastAsia="Calibri" w:hAnsi="Calibri"/>
          <w:b/>
          <w:bCs/>
          <w:i w:val="false"/>
          <w:iCs w:val="false"/>
          <w:color w:val="1B365D"/>
          <w:sz w:val="28"/>
          <w:szCs w:val="28"/>
        </w:rPr>
        <w:t xml:space="preserve">5. Process B — Add lots (distinct)</w:t>
      </w:r>
    </w:p>
    <w:p>
      <w:pPr>
        <w:spacing w:after="140" w:before="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2"/>
          <w:szCs w:val="22"/>
        </w:rPr>
        <w:t xml:space="preserve">Enabled only on a researched identity (Process A has an investment id). Separate entry point: Add lots. Not “step 9 of add position.”</w:t>
      </w:r>
    </w:p>
    <w:p>
      <w:pPr>
        <w:pStyle w:val="ListParagraph"/>
        <w:numPr>
          <w:ilvl w:val="0"/>
          <w:numId w:val="2"/>
        </w:numPr>
        <w:spacing w:after="70" w:line="2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1"/>
          <w:szCs w:val="21"/>
        </w:rPr>
        <w:t xml:space="preserve">Owner provides: account, opened-on, quantity, original economic cost, tax cost if different, origin (purchase / drip / transfer).</w:t>
      </w:r>
    </w:p>
    <w:p>
      <w:pPr>
        <w:pStyle w:val="ListParagraph"/>
        <w:numPr>
          <w:ilvl w:val="0"/>
          <w:numId w:val="2"/>
        </w:numPr>
        <w:spacing w:after="70" w:line="2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1"/>
          <w:szCs w:val="21"/>
        </w:rPr>
        <w:t xml:space="preserve">System does not ask frequency, URL, ROC, or tier here.</w:t>
      </w:r>
    </w:p>
    <w:p>
      <w:pPr>
        <w:pStyle w:val="ListParagraph"/>
        <w:numPr>
          <w:ilvl w:val="0"/>
          <w:numId w:val="2"/>
        </w:numPr>
        <w:spacing w:after="70" w:line="2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1"/>
          <w:szCs w:val="21"/>
        </w:rPr>
        <w:t xml:space="preserve">Lowest-cost recommend stays a later sale tool. Opening a lot is explicit. No FIFO.</w:t>
      </w:r>
    </w:p>
    <w:p>
      <w:pPr>
        <w:pStyle w:val="ListParagraph"/>
        <w:numPr>
          <w:ilvl w:val="0"/>
          <w:numId w:val="2"/>
        </w:numPr>
        <w:spacing w:after="70" w:line="2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1"/>
          <w:szCs w:val="21"/>
        </w:rPr>
        <w:t xml:space="preserve">After the first open lot, Holdings / Income Plan quantity become real. Plan dollars still require a confirmed Plan from Process A.</w:t>
      </w:r>
    </w:p>
    <w:p>
      <w:pPr>
        <w:pStyle w:val="Heading1"/>
        <w:pBdr>
          <w:bottom w:val="single" w:color="1B365D" w:sz="12" w:space="4"/>
        </w:pBdr>
        <w:spacing w:after="120" w:before="280"/>
      </w:pPr>
      <w:r>
        <w:rPr>
          <w:rFonts w:ascii="Calibri" w:cs="Calibri" w:eastAsia="Calibri" w:hAnsi="Calibri"/>
          <w:b/>
          <w:bCs/>
          <w:i w:val="false"/>
          <w:iCs w:val="false"/>
          <w:color w:val="1B365D"/>
          <w:sz w:val="28"/>
          <w:szCs w:val="28"/>
        </w:rPr>
        <w:t xml:space="preserve">6. Rejected behavior (current wizard)</w:t>
      </w:r>
    </w:p>
    <w:p>
      <w:pPr>
        <w:pStyle w:val="ListParagraph"/>
        <w:numPr>
          <w:ilvl w:val="0"/>
          <w:numId w:val="2"/>
        </w:numPr>
        <w:spacing w:after="70" w:line="2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1"/>
          <w:szCs w:val="21"/>
        </w:rPr>
        <w:t xml:space="preserve">Asking for frequency, provider name, weekday pattern, risk tier, or lot data in the first screens.</w:t>
      </w:r>
    </w:p>
    <w:p>
      <w:pPr>
        <w:pStyle w:val="ListParagraph"/>
        <w:numPr>
          <w:ilvl w:val="0"/>
          <w:numId w:val="2"/>
        </w:numPr>
        <w:spacing w:after="70" w:line="2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1"/>
          <w:szCs w:val="21"/>
        </w:rPr>
        <w:t xml:space="preserve">Nine linear steps that mix identity, schedule, price, history, Plan, lots, and ROC.</w:t>
      </w:r>
    </w:p>
    <w:p>
      <w:pPr>
        <w:pStyle w:val="ListParagraph"/>
        <w:numPr>
          <w:ilvl w:val="0"/>
          <w:numId w:val="2"/>
        </w:numPr>
        <w:spacing w:after="70" w:line="2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1"/>
          <w:szCs w:val="21"/>
        </w:rPr>
        <w:t xml:space="preserve">Blocking Continue until the owner fills research fields the collector should have returned.</w:t>
      </w:r>
    </w:p>
    <w:p>
      <w:pPr>
        <w:pStyle w:val="ListParagraph"/>
        <w:numPr>
          <w:ilvl w:val="0"/>
          <w:numId w:val="2"/>
        </w:numPr>
        <w:spacing w:after="70" w:line="2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1"/>
          <w:szCs w:val="21"/>
        </w:rPr>
        <w:t xml:space="preserve">Writing Plan or tier just because retrieve succeeded.</w:t>
      </w:r>
    </w:p>
    <w:p>
      <w:pPr>
        <w:pStyle w:val="ListParagraph"/>
        <w:numPr>
          <w:ilvl w:val="0"/>
          <w:numId w:val="2"/>
        </w:numPr>
        <w:spacing w:after="70" w:line="2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1"/>
          <w:szCs w:val="21"/>
        </w:rPr>
        <w:t xml:space="preserve">Treating Add lots as a wizard step so a name cannot exist without a lot (watch / research-only names are allowed).</w:t>
      </w:r>
    </w:p>
    <w:p>
      <w:pPr>
        <w:pStyle w:val="Heading1"/>
        <w:pBdr>
          <w:bottom w:val="single" w:color="1B365D" w:sz="12" w:space="4"/>
        </w:pBdr>
        <w:spacing w:after="120" w:before="280"/>
      </w:pPr>
      <w:r>
        <w:rPr>
          <w:rFonts w:ascii="Calibri" w:cs="Calibri" w:eastAsia="Calibri" w:hAnsi="Calibri"/>
          <w:b/>
          <w:bCs/>
          <w:i w:val="false"/>
          <w:iCs w:val="false"/>
          <w:color w:val="1B365D"/>
          <w:sz w:val="28"/>
          <w:szCs w:val="28"/>
        </w:rPr>
        <w:t xml:space="preserve">7. Acceptance — HAKY day-one</w:t>
      </w:r>
    </w:p>
    <w:p>
      <w:pPr>
        <w:pStyle w:val="ListParagraph"/>
        <w:numPr>
          <w:ilvl w:val="0"/>
          <w:numId w:val="2"/>
        </w:numPr>
        <w:spacing w:after="70" w:line="2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1"/>
          <w:szCs w:val="21"/>
        </w:rPr>
        <w:t xml:space="preserve">Owner types HAKY and https://amplifyetfs.com/haky/#distributions and nothing else.</w:t>
      </w:r>
    </w:p>
    <w:p>
      <w:pPr>
        <w:pStyle w:val="ListParagraph"/>
        <w:numPr>
          <w:ilvl w:val="0"/>
          <w:numId w:val="2"/>
        </w:numPr>
        <w:spacing w:after="70" w:line="2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1"/>
          <w:szCs w:val="21"/>
        </w:rPr>
        <w:t xml:space="preserve">System stores the URL as the Amplify declaration source for that identity.</w:t>
      </w:r>
    </w:p>
    <w:p>
      <w:pPr>
        <w:pStyle w:val="ListParagraph"/>
        <w:numPr>
          <w:ilvl w:val="0"/>
          <w:numId w:val="2"/>
        </w:numPr>
        <w:spacing w:after="70" w:line="2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1"/>
          <w:szCs w:val="21"/>
        </w:rPr>
        <w:t xml:space="preserve">Retrieve runs. Paid distributions from that page become declaration history or a visible miss (unknown, not $0).</w:t>
      </w:r>
    </w:p>
    <w:p>
      <w:pPr>
        <w:pStyle w:val="ListParagraph"/>
        <w:numPr>
          <w:ilvl w:val="0"/>
          <w:numId w:val="2"/>
        </w:numPr>
        <w:spacing w:after="70" w:line="2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1"/>
          <w:szCs w:val="21"/>
        </w:rPr>
        <w:t xml:space="preserve">Screen shows frequency suggestion, history, remaining-year dates, ROC research state, suggested Plan, suggested tier / underlying / type — each marked filled or unknown.</w:t>
      </w:r>
    </w:p>
    <w:p>
      <w:pPr>
        <w:pStyle w:val="ListParagraph"/>
        <w:numPr>
          <w:ilvl w:val="0"/>
          <w:numId w:val="2"/>
        </w:numPr>
        <w:spacing w:after="70" w:line="2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1"/>
          <w:szCs w:val="21"/>
        </w:rPr>
        <w:t xml:space="preserve">No lot exists until Process B.</w:t>
      </w:r>
    </w:p>
    <w:p>
      <w:pPr>
        <w:pStyle w:val="ListParagraph"/>
        <w:numPr>
          <w:ilvl w:val="0"/>
          <w:numId w:val="2"/>
        </w:numPr>
        <w:spacing w:after="70" w:line="2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1"/>
          <w:szCs w:val="21"/>
        </w:rPr>
        <w:t xml:space="preserve">Income Plan does not invent HAKY dollars until Plan is confirmed and a lot exists.</w:t>
      </w:r>
    </w:p>
    <w:p>
      <w:pPr>
        <w:pStyle w:val="Heading1"/>
        <w:pBdr>
          <w:bottom w:val="single" w:color="1B365D" w:sz="12" w:space="4"/>
        </w:pBdr>
        <w:spacing w:after="120" w:before="280"/>
      </w:pPr>
      <w:r>
        <w:rPr>
          <w:rFonts w:ascii="Calibri" w:cs="Calibri" w:eastAsia="Calibri" w:hAnsi="Calibri"/>
          <w:b/>
          <w:bCs/>
          <w:i w:val="false"/>
          <w:iCs w:val="false"/>
          <w:color w:val="1B365D"/>
          <w:sz w:val="28"/>
          <w:szCs w:val="28"/>
        </w:rPr>
        <w:t xml:space="preserve">8. Cursor instruction (when implementation starts)</w:t>
      </w:r>
    </w:p>
    <w:p>
      <w:pPr>
        <w:spacing w:after="140" w:before="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2"/>
          <w:szCs w:val="22"/>
        </w:rPr>
        <w:t xml:space="preserve">Do not edit the 21 Aug working paper into another questionnaire. Replace the first-run UI with Process A seed (two fields) + research results panel + Confirm Plan / Apply tier actions. Keep Add lots as an existing or new separate command on the position. Reuse DeclarationRefresh / CollectorRetrieve / LastPriceRefresh / ClassificationSuggestGet. Do not add new owner fields to Process A.</w:t>
      </w:r>
    </w:p>
    <w:sectPr>
      <w:headerReference w:type="default" r:id="rId7"/>
      <w:footerReference w:type="default" r:id="rId8"/>
      <w:pgSz w:w="12240" w:h="15840" w:orient="portrait"/>
      <w:pgMar w:top="864" w:right="864" w:bottom="864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rFonts w:ascii="Calibri" w:cs="Calibri" w:eastAsia="Calibri" w:hAnsi="Calibri"/>
        <w:b w:val="false"/>
        <w:bCs w:val="false"/>
        <w:i w:val="false"/>
        <w:iCs w:val="false"/>
        <w:color w:val="5B6B7B"/>
        <w:sz w:val="16"/>
        <w:szCs w:val="16"/>
      </w:rPr>
      <w:t xml:space="preserve">Page </w:t>
    </w:r>
    <w:r>
      <w:rPr>
        <w:rFonts w:ascii="Calibri" w:cs="Calibri" w:eastAsia="Calibri" w:hAnsi="Calibri"/>
        <w:color w:val="5B6B7B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B365D" w:sz="8" w:space="4"/>
      </w:pBdr>
    </w:pPr>
    <w:r>
      <w:rPr>
        <w:rFonts w:ascii="Calibri" w:cs="Calibri" w:eastAsia="Calibri" w:hAnsi="Calibri"/>
        <w:b/>
        <w:bCs/>
        <w:i w:val="false"/>
        <w:iCs w:val="false"/>
        <w:color w:val="1B365D"/>
        <w:sz w:val="16"/>
        <w:szCs w:val="16"/>
      </w:rPr>
      <w:t xml:space="preserve">FINOS  </w:t>
    </w:r>
    <w:r>
      <w:rPr>
        <w:rFonts w:ascii="Calibri" w:cs="Calibri" w:eastAsia="Calibri" w:hAnsi="Calibri"/>
        <w:b w:val="false"/>
        <w:bCs w:val="false"/>
        <w:i w:val="false"/>
        <w:iCs w:val="false"/>
        <w:color w:val="5B6B7B"/>
        <w:sz w:val="16"/>
        <w:szCs w:val="16"/>
      </w:rPr>
      <w:t xml:space="preserve">Add Position research-first lock — 29 Aug 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1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80"/>
      <w:outlineLvl w:val="0"/>
    </w:pPr>
    <w:rPr>
      <w:rFonts w:ascii="Calibri" w:cs="Calibri" w:eastAsia="Calibri" w:hAnsi="Calibri"/>
      <w:b/>
      <w:bCs/>
      <w:color w:val="1B365D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00" w:before="200"/>
      <w:outlineLvl w:val="1"/>
    </w:pPr>
    <w:rPr>
      <w:rFonts w:ascii="Calibri" w:cs="Calibri" w:eastAsia="Calibri" w:hAnsi="Calibri"/>
      <w:b/>
      <w:bCs/>
      <w:color w:val="2E509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2026-08-29T13:06:45.795Z</dcterms:created>
  <dcterms:modified xsi:type="dcterms:W3CDTF">2026-08-29T13:06:45.795Z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