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B2545"/>
          <w:sz w:val="46"/>
        </w:rPr>
        <w:t>CROSS-CUTTING REQUIREMENTS</w:t>
      </w:r>
    </w:p>
    <w:p>
      <w:pPr>
        <w:pStyle w:val="Subtitle"/>
      </w:pPr>
      <w:r>
        <w:rPr>
          <w:rFonts w:ascii="Calibri" w:hAnsi="Calibri"/>
          <w:b w:val="0"/>
          <w:i w:val="0"/>
          <w:color w:val="5B6573"/>
          <w:sz w:val="26"/>
        </w:rPr>
        <w:t>Finance Management System — Project-Wide Business and Architecture Baseline</w:t>
      </w:r>
    </w:p>
    <w:p>
      <w:pPr>
        <w:spacing w:after="40"/>
      </w:pPr>
      <w:r>
        <w:rPr>
          <w:rFonts w:ascii="Calibri" w:hAnsi="Calibri"/>
          <w:b/>
          <w:i w:val="0"/>
          <w:color w:val="0B2545"/>
          <w:sz w:val="22"/>
        </w:rPr>
        <w:t xml:space="preserve">Status: </w:t>
      </w:r>
      <w:r>
        <w:rPr>
          <w:rFonts w:ascii="Calibri" w:hAnsi="Calibri"/>
          <w:b w:val="0"/>
          <w:i w:val="0"/>
          <w:color w:val="0B2545"/>
          <w:sz w:val="22"/>
        </w:rPr>
        <w:t>BASELINE COMPLETE — binding across all in-scope capabilities</w:t>
      </w:r>
    </w:p>
    <w:p>
      <w:pPr>
        <w:spacing w:after="40"/>
      </w:pPr>
      <w:r>
        <w:rPr>
          <w:rFonts w:ascii="Calibri" w:hAnsi="Calibri"/>
          <w:b/>
          <w:i w:val="0"/>
          <w:color w:val="0B2545"/>
          <w:sz w:val="22"/>
        </w:rPr>
        <w:t xml:space="preserve">Version: </w:t>
      </w:r>
      <w:r>
        <w:rPr>
          <w:rFonts w:ascii="Calibri" w:hAnsi="Calibri"/>
          <w:b w:val="0"/>
          <w:i w:val="0"/>
          <w:color w:val="0B2545"/>
          <w:sz w:val="22"/>
        </w:rPr>
        <w:t>1.0</w:t>
      </w:r>
    </w:p>
    <w:p>
      <w:pPr>
        <w:spacing w:after="40"/>
      </w:pPr>
      <w:r>
        <w:rPr>
          <w:rFonts w:ascii="Calibri" w:hAnsi="Calibri"/>
          <w:b/>
          <w:i w:val="0"/>
          <w:color w:val="0B2545"/>
          <w:sz w:val="22"/>
        </w:rPr>
        <w:t xml:space="preserve">Effective date: </w:t>
      </w:r>
      <w:r>
        <w:rPr>
          <w:rFonts w:ascii="Calibri" w:hAnsi="Calibri"/>
          <w:b w:val="0"/>
          <w:i w:val="0"/>
          <w:color w:val="0B2545"/>
          <w:sz w:val="22"/>
        </w:rPr>
        <w:t>14 August 2026</w:t>
      </w:r>
    </w:p>
    <w:p>
      <w:pPr>
        <w:spacing w:after="40"/>
      </w:pPr>
      <w:r>
        <w:rPr>
          <w:rFonts w:ascii="Calibri" w:hAnsi="Calibri"/>
          <w:b/>
          <w:i w:val="0"/>
          <w:color w:val="0B2545"/>
          <w:sz w:val="22"/>
        </w:rPr>
        <w:t xml:space="preserve">Scope: </w:t>
      </w:r>
      <w:r>
        <w:rPr>
          <w:rFonts w:ascii="Calibri" w:hAnsi="Calibri"/>
          <w:b w:val="0"/>
          <w:i w:val="0"/>
          <w:color w:val="0B2545"/>
          <w:sz w:val="22"/>
        </w:rPr>
        <w:t>All in-scope tabs, shared services, data stores, imports, calculations, user experiences and future automation</w:t>
      </w:r>
    </w:p>
    <w:p>
      <w:pPr>
        <w:spacing w:after="40"/>
      </w:pPr>
      <w:r>
        <w:rPr>
          <w:rFonts w:ascii="Calibri" w:hAnsi="Calibri"/>
          <w:b/>
          <w:i w:val="0"/>
          <w:color w:val="0B2545"/>
          <w:sz w:val="22"/>
        </w:rPr>
        <w:t xml:space="preserve">Authority: </w:t>
      </w:r>
      <w:r>
        <w:rPr>
          <w:rFonts w:ascii="Calibri" w:hAnsi="Calibri"/>
          <w:b w:val="0"/>
          <w:i w:val="0"/>
          <w:color w:val="0B2545"/>
          <w:sz w:val="22"/>
        </w:rPr>
        <w:t>Owner decisions; approved tab requirements; normalized architecture requirements; cited tax guidance</w:t>
      </w:r>
    </w:p>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10" w:type="dxa"/>
              <w:bottom w:w="110" w:type="dxa"/>
              <w:start w:w="120" w:type="dxa"/>
              <w:end w:w="120" w:type="dxa"/>
            </w:tcMar>
            <w:shd w:fill="EAF4E2"/>
          </w:tcPr>
          <w:p>
            <w:pPr>
              <w:spacing w:after="0"/>
            </w:pPr>
            <w:r>
              <w:rPr>
                <w:rFonts w:ascii="Calibri" w:hAnsi="Calibri"/>
                <w:b/>
                <w:i w:val="0"/>
                <w:color w:val="315B24"/>
                <w:sz w:val="22"/>
              </w:rPr>
              <w:t xml:space="preserve">Baseline disposition: </w:t>
            </w:r>
            <w:r>
              <w:rPr>
                <w:rFonts w:ascii="Calibri" w:hAnsi="Calibri"/>
                <w:b w:val="0"/>
                <w:i w:val="0"/>
                <w:color w:val="315B24"/>
                <w:sz w:val="22"/>
              </w:rPr>
              <w:t>These requirements govern the complete application and supersede conflicting spreadsheet mechanics. A tab-level requirement may add detail, but it may not create a second source of truth, redefine a canonical fact, bypass approval/audit controls or weaken recoverability, data quality or explainability.</w:t>
            </w:r>
          </w:p>
        </w:tc>
      </w:tr>
    </w:tbl>
    <w:p>
      <w:pPr>
        <w:spacing w:after="20"/>
      </w:pPr>
    </w:p>
    <w:p>
      <w:pPr>
        <w:pStyle w:val="Heading1"/>
      </w:pPr>
      <w:r>
        <w:t>1. Purpose and Use</w:t>
      </w:r>
    </w:p>
    <w:p>
      <w:r>
        <w:rPr>
          <w:rFonts w:ascii="Calibri" w:hAnsi="Calibri"/>
          <w:b w:val="0"/>
          <w:i w:val="0"/>
          <w:color w:val="0B2545"/>
          <w:sz w:val="22"/>
        </w:rPr>
        <w:t>This document defines requirements that apply across Holdings, Calculator, Position Details, Last Price, Income Plan, the Investment Activity Ledger/ROI, Trends, Dashboard, Allocations, Shopping Cart and every supporting service. It converts the owner’s cross-cutting statements into atomic, testable requirements and adds only the architecture-derived controls necessary to make the system durable.</w:t>
      </w:r>
    </w:p>
    <w:p>
      <w:pPr>
        <w:spacing w:after="100"/>
      </w:pPr>
      <w:r>
        <w:rPr>
          <w:rFonts w:ascii="Calibri" w:hAnsi="Calibri"/>
          <w:b/>
          <w:i w:val="0"/>
          <w:color w:val="0B2545"/>
          <w:sz w:val="22"/>
        </w:rPr>
        <w:t xml:space="preserve">Implementation use: </w:t>
      </w:r>
      <w:r>
        <w:rPr>
          <w:rFonts w:ascii="Calibri" w:hAnsi="Calibri"/>
          <w:b w:val="0"/>
          <w:i w:val="0"/>
          <w:color w:val="0B2545"/>
          <w:sz w:val="22"/>
        </w:rPr>
        <w:t>Every epic, component, API, database migration and acceptance test must identify the applicable BR-X requirements. Conflicts are resolved in favor of this baseline unless an approved architecture decision record explicitly changes it.</w:t>
      </w:r>
    </w:p>
    <w:p>
      <w:pPr>
        <w:spacing w:after="100"/>
      </w:pPr>
      <w:r>
        <w:rPr>
          <w:rFonts w:ascii="Calibri" w:hAnsi="Calibri"/>
          <w:b/>
          <w:i w:val="0"/>
          <w:color w:val="0B2545"/>
          <w:sz w:val="22"/>
        </w:rPr>
        <w:t xml:space="preserve">Interpretation rule: </w:t>
      </w:r>
      <w:r>
        <w:rPr>
          <w:rFonts w:ascii="Calibri" w:hAnsi="Calibri"/>
          <w:b w:val="0"/>
          <w:i w:val="0"/>
          <w:color w:val="0B2545"/>
          <w:sz w:val="22"/>
        </w:rPr>
        <w:t>The spreadsheet is evidence of intent and minimum capability—not a target implementation specification. The application must preserve valuable outcomes while eliminating duplicate entry, copied formulas, fixed ranges, color-as-data and other manual limitations.</w:t>
      </w:r>
    </w:p>
    <w:p>
      <w:pPr>
        <w:pStyle w:val="Heading1"/>
      </w:pPr>
      <w:r>
        <w:t>2. Guiding Business Outcomes</w:t>
      </w:r>
    </w:p>
    <w:tbl>
      <w:tblPr>
        <w:tblStyle w:val="TableGrid"/>
        <w:tblW w:type="dxa" w:w="9360"/>
        <w:jc w:val="left"/>
        <w:tblLayout w:type="fixed"/>
        <w:tblLook w:firstColumn="1" w:firstRow="1" w:lastColumn="0" w:lastRow="0" w:noHBand="0" w:noVBand="1" w:val="04A0"/>
        <w:tblInd w:w="120" w:type="dxa"/>
      </w:tblPr>
      <w:tblGrid>
        <w:gridCol w:w="2650"/>
        <w:gridCol w:w="6710"/>
      </w:tblGrid>
      <w:tr>
        <w:trPr>
          <w:tblHeader w:val="true"/>
          <w:cantSplit/>
        </w:trPr>
        <w:tc>
          <w:tcPr>
            <w:tcW w:type="dxa" w:w="2650"/>
            <w:shd w:fill="F2F4F7"/>
            <w:vAlign w:val="center"/>
            <w:tcMar>
              <w:top w:w="80" w:type="dxa"/>
              <w:bottom w:w="80" w:type="dxa"/>
              <w:start w:w="120" w:type="dxa"/>
              <w:end w:w="120" w:type="dxa"/>
            </w:tcMar>
          </w:tcPr>
          <w:p>
            <w:pPr>
              <w:spacing w:after="0"/>
            </w:pPr>
            <w:r>
              <w:rPr>
                <w:rFonts w:ascii="Calibri" w:hAnsi="Calibri"/>
                <w:b/>
                <w:i w:val="0"/>
                <w:color w:val="0B2545"/>
                <w:sz w:val="16"/>
              </w:rPr>
              <w:t>Outcome</w:t>
            </w:r>
          </w:p>
        </w:tc>
        <w:tc>
          <w:tcPr>
            <w:tcW w:type="dxa" w:w="6710"/>
            <w:shd w:fill="F2F4F7"/>
            <w:vAlign w:val="center"/>
            <w:tcMar>
              <w:top w:w="80" w:type="dxa"/>
              <w:bottom w:w="80" w:type="dxa"/>
              <w:start w:w="120" w:type="dxa"/>
              <w:end w:w="120" w:type="dxa"/>
            </w:tcMar>
          </w:tcPr>
          <w:p>
            <w:pPr>
              <w:spacing w:after="0"/>
            </w:pPr>
            <w:r>
              <w:rPr>
                <w:rFonts w:ascii="Calibri" w:hAnsi="Calibri"/>
                <w:b/>
                <w:i w:val="0"/>
                <w:color w:val="0B2545"/>
                <w:sz w:val="16"/>
              </w:rPr>
              <w:t>Project-wide meaning</w:t>
            </w:r>
          </w:p>
        </w:tc>
      </w:tr>
      <w:tr>
        <w:trPr>
          <w:cantSplit/>
        </w:trPr>
        <w:tc>
          <w:tcPr>
            <w:tcW w:type="dxa" w:w="2650"/>
            <w:vAlign w:val="center"/>
            <w:tcMar>
              <w:top w:w="80" w:type="dxa"/>
              <w:bottom w:w="80" w:type="dxa"/>
              <w:start w:w="120" w:type="dxa"/>
              <w:end w:w="120" w:type="dxa"/>
            </w:tcMar>
          </w:tcPr>
          <w:p>
            <w:pPr>
              <w:spacing w:after="0" w:line="250" w:lineRule="auto"/>
            </w:pPr>
            <w:r>
              <w:rPr>
                <w:rFonts w:ascii="Calibri" w:hAnsi="Calibri"/>
                <w:b w:val="0"/>
                <w:i w:val="0"/>
                <w:color w:val="0B2545"/>
                <w:sz w:val="16"/>
              </w:rPr>
              <w:t>Reliable financial truth</w:t>
            </w:r>
          </w:p>
        </w:tc>
        <w:tc>
          <w:tcPr>
            <w:tcW w:type="dxa" w:w="6710"/>
            <w:vAlign w:val="center"/>
            <w:tcMar>
              <w:top w:w="80" w:type="dxa"/>
              <w:bottom w:w="80" w:type="dxa"/>
              <w:start w:w="120" w:type="dxa"/>
              <w:end w:w="120" w:type="dxa"/>
            </w:tcMar>
          </w:tcPr>
          <w:p>
            <w:pPr>
              <w:spacing w:after="0" w:line="250" w:lineRule="auto"/>
            </w:pPr>
            <w:r>
              <w:rPr>
                <w:rFonts w:ascii="Calibri" w:hAnsi="Calibri"/>
                <w:b w:val="0"/>
                <w:i w:val="0"/>
                <w:color w:val="0B2545"/>
                <w:sz w:val="16"/>
              </w:rPr>
              <w:t>Each fact is captured once, retains provenance and drives every relevant view and calculation.</w:t>
            </w:r>
          </w:p>
        </w:tc>
      </w:tr>
      <w:tr>
        <w:trPr>
          <w:cantSplit/>
        </w:trPr>
        <w:tc>
          <w:tcPr>
            <w:tcW w:type="dxa" w:w="2650"/>
            <w:vAlign w:val="center"/>
            <w:tcMar>
              <w:top w:w="80" w:type="dxa"/>
              <w:bottom w:w="80" w:type="dxa"/>
              <w:start w:w="120" w:type="dxa"/>
              <w:end w:w="120" w:type="dxa"/>
            </w:tcMar>
          </w:tcPr>
          <w:p>
            <w:pPr>
              <w:spacing w:after="0" w:line="250" w:lineRule="auto"/>
            </w:pPr>
            <w:r>
              <w:rPr>
                <w:rFonts w:ascii="Calibri" w:hAnsi="Calibri"/>
                <w:b w:val="0"/>
                <w:i w:val="0"/>
                <w:color w:val="0B2545"/>
                <w:sz w:val="16"/>
              </w:rPr>
              <w:t>Owner-controlled accuracy</w:t>
            </w:r>
          </w:p>
        </w:tc>
        <w:tc>
          <w:tcPr>
            <w:tcW w:type="dxa" w:w="6710"/>
            <w:vAlign w:val="center"/>
            <w:tcMar>
              <w:top w:w="80" w:type="dxa"/>
              <w:bottom w:w="80" w:type="dxa"/>
              <w:start w:w="120" w:type="dxa"/>
              <w:end w:w="120" w:type="dxa"/>
            </w:tcMar>
          </w:tcPr>
          <w:p>
            <w:pPr>
              <w:spacing w:after="0" w:line="250" w:lineRule="auto"/>
            </w:pPr>
            <w:r>
              <w:rPr>
                <w:rFonts w:ascii="Calibri" w:hAnsi="Calibri"/>
                <w:b w:val="0"/>
                <w:i w:val="0"/>
                <w:color w:val="0B2545"/>
                <w:sz w:val="16"/>
              </w:rPr>
              <w:t>Transparent automation assists the owner; structured manual validation remains a first-class capability.</w:t>
            </w:r>
          </w:p>
        </w:tc>
      </w:tr>
      <w:tr>
        <w:trPr>
          <w:cantSplit/>
        </w:trPr>
        <w:tc>
          <w:tcPr>
            <w:tcW w:type="dxa" w:w="2650"/>
            <w:vAlign w:val="center"/>
            <w:tcMar>
              <w:top w:w="80" w:type="dxa"/>
              <w:bottom w:w="80" w:type="dxa"/>
              <w:start w:w="120" w:type="dxa"/>
              <w:end w:w="120" w:type="dxa"/>
            </w:tcMar>
          </w:tcPr>
          <w:p>
            <w:pPr>
              <w:spacing w:after="0" w:line="250" w:lineRule="auto"/>
            </w:pPr>
            <w:r>
              <w:rPr>
                <w:rFonts w:ascii="Calibri" w:hAnsi="Calibri"/>
                <w:b w:val="0"/>
                <w:i w:val="0"/>
                <w:color w:val="0B2545"/>
                <w:sz w:val="16"/>
              </w:rPr>
              <w:t>Better investment decisions</w:t>
            </w:r>
          </w:p>
        </w:tc>
        <w:tc>
          <w:tcPr>
            <w:tcW w:type="dxa" w:w="6710"/>
            <w:vAlign w:val="center"/>
            <w:tcMar>
              <w:top w:w="80" w:type="dxa"/>
              <w:bottom w:w="80" w:type="dxa"/>
              <w:start w:w="120" w:type="dxa"/>
              <w:end w:w="120" w:type="dxa"/>
            </w:tcMar>
          </w:tcPr>
          <w:p>
            <w:pPr>
              <w:spacing w:after="0" w:line="250" w:lineRule="auto"/>
            </w:pPr>
            <w:r>
              <w:rPr>
                <w:rFonts w:ascii="Calibri" w:hAnsi="Calibri"/>
                <w:b w:val="0"/>
                <w:i w:val="0"/>
                <w:color w:val="0B2545"/>
                <w:sz w:val="16"/>
              </w:rPr>
              <w:t>Income, principal preservation, allocation, tax exposure, concentration and historical evidence are evaluated together.</w:t>
            </w:r>
          </w:p>
        </w:tc>
      </w:tr>
      <w:tr>
        <w:trPr>
          <w:cantSplit/>
        </w:trPr>
        <w:tc>
          <w:tcPr>
            <w:tcW w:type="dxa" w:w="2650"/>
            <w:vAlign w:val="center"/>
            <w:tcMar>
              <w:top w:w="80" w:type="dxa"/>
              <w:bottom w:w="80" w:type="dxa"/>
              <w:start w:w="120" w:type="dxa"/>
              <w:end w:w="120" w:type="dxa"/>
            </w:tcMar>
          </w:tcPr>
          <w:p>
            <w:pPr>
              <w:spacing w:after="0" w:line="250" w:lineRule="auto"/>
            </w:pPr>
            <w:r>
              <w:rPr>
                <w:rFonts w:ascii="Calibri" w:hAnsi="Calibri"/>
                <w:b w:val="0"/>
                <w:i w:val="0"/>
                <w:color w:val="0B2545"/>
                <w:sz w:val="16"/>
              </w:rPr>
              <w:t>Operational relief</w:t>
            </w:r>
          </w:p>
        </w:tc>
        <w:tc>
          <w:tcPr>
            <w:tcW w:type="dxa" w:w="6710"/>
            <w:vAlign w:val="center"/>
            <w:tcMar>
              <w:top w:w="80" w:type="dxa"/>
              <w:bottom w:w="80" w:type="dxa"/>
              <w:start w:w="120" w:type="dxa"/>
              <w:end w:w="120" w:type="dxa"/>
            </w:tcMar>
          </w:tcPr>
          <w:p>
            <w:pPr>
              <w:spacing w:after="0" w:line="250" w:lineRule="auto"/>
            </w:pPr>
            <w:r>
              <w:rPr>
                <w:rFonts w:ascii="Calibri" w:hAnsi="Calibri"/>
                <w:b w:val="0"/>
                <w:i w:val="0"/>
                <w:color w:val="0B2545"/>
                <w:sz w:val="16"/>
              </w:rPr>
              <w:t>Weekly planning, actual capture, reconciliation and reporting no longer require repeated entry across tabs.</w:t>
            </w:r>
          </w:p>
        </w:tc>
      </w:tr>
      <w:tr>
        <w:trPr>
          <w:cantSplit/>
        </w:trPr>
        <w:tc>
          <w:tcPr>
            <w:tcW w:type="dxa" w:w="2650"/>
            <w:vAlign w:val="center"/>
            <w:tcMar>
              <w:top w:w="80" w:type="dxa"/>
              <w:bottom w:w="80" w:type="dxa"/>
              <w:start w:w="120" w:type="dxa"/>
              <w:end w:w="120" w:type="dxa"/>
            </w:tcMar>
          </w:tcPr>
          <w:p>
            <w:pPr>
              <w:spacing w:after="0" w:line="250" w:lineRule="auto"/>
            </w:pPr>
            <w:r>
              <w:rPr>
                <w:rFonts w:ascii="Calibri" w:hAnsi="Calibri"/>
                <w:b w:val="0"/>
                <w:i w:val="0"/>
                <w:color w:val="0B2545"/>
                <w:sz w:val="16"/>
              </w:rPr>
              <w:t>Durable local ownership</w:t>
            </w:r>
          </w:p>
        </w:tc>
        <w:tc>
          <w:tcPr>
            <w:tcW w:type="dxa" w:w="6710"/>
            <w:vAlign w:val="center"/>
            <w:tcMar>
              <w:top w:w="80" w:type="dxa"/>
              <w:bottom w:w="80" w:type="dxa"/>
              <w:start w:w="120" w:type="dxa"/>
              <w:end w:w="120" w:type="dxa"/>
            </w:tcMar>
          </w:tcPr>
          <w:p>
            <w:pPr>
              <w:spacing w:after="0" w:line="250" w:lineRule="auto"/>
            </w:pPr>
            <w:r>
              <w:rPr>
                <w:rFonts w:ascii="Calibri" w:hAnsi="Calibri"/>
                <w:b w:val="0"/>
                <w:i w:val="0"/>
                <w:color w:val="0B2545"/>
                <w:sz w:val="16"/>
              </w:rPr>
              <w:t>The live system remains local, recoverable and exportable without dependence on one cloud vendor.</w:t>
            </w:r>
          </w:p>
        </w:tc>
      </w:tr>
      <w:tr>
        <w:trPr>
          <w:cantSplit/>
        </w:trPr>
        <w:tc>
          <w:tcPr>
            <w:tcW w:type="dxa" w:w="2650"/>
            <w:vAlign w:val="center"/>
            <w:tcMar>
              <w:top w:w="80" w:type="dxa"/>
              <w:bottom w:w="80" w:type="dxa"/>
              <w:start w:w="120" w:type="dxa"/>
              <w:end w:w="120" w:type="dxa"/>
            </w:tcMar>
          </w:tcPr>
          <w:p>
            <w:pPr>
              <w:spacing w:after="0" w:line="250" w:lineRule="auto"/>
            </w:pPr>
            <w:r>
              <w:rPr>
                <w:rFonts w:ascii="Calibri" w:hAnsi="Calibri"/>
                <w:b w:val="0"/>
                <w:i w:val="0"/>
                <w:color w:val="0B2545"/>
                <w:sz w:val="16"/>
              </w:rPr>
              <w:t>Progressive intelligence</w:t>
            </w:r>
          </w:p>
        </w:tc>
        <w:tc>
          <w:tcPr>
            <w:tcW w:type="dxa" w:w="6710"/>
            <w:vAlign w:val="center"/>
            <w:tcMar>
              <w:top w:w="80" w:type="dxa"/>
              <w:bottom w:w="80" w:type="dxa"/>
              <w:start w:w="120" w:type="dxa"/>
              <w:end w:w="120" w:type="dxa"/>
            </w:tcMar>
          </w:tcPr>
          <w:p>
            <w:pPr>
              <w:spacing w:after="0" w:line="250" w:lineRule="auto"/>
            </w:pPr>
            <w:r>
              <w:rPr>
                <w:rFonts w:ascii="Calibri" w:hAnsi="Calibri"/>
                <w:b w:val="0"/>
                <w:i w:val="0"/>
                <w:color w:val="0B2545"/>
                <w:sz w:val="16"/>
              </w:rPr>
              <w:t>The MVP works with available manual/import processes and becomes more automated and insightful without replacing its core model.</w:t>
            </w:r>
          </w:p>
        </w:tc>
      </w:tr>
    </w:tbl>
    <w:p>
      <w:pPr>
        <w:spacing w:after="20"/>
      </w:pPr>
    </w:p>
    <w:p>
      <w:pPr>
        <w:pStyle w:val="Heading1"/>
      </w:pPr>
      <w:r>
        <w:t>3. Requirement Conventions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F2F4F7"/>
            <w:vAlign w:val="center"/>
            <w:tcMar>
              <w:top w:w="80" w:type="dxa"/>
              <w:bottom w:w="80" w:type="dxa"/>
              <w:start w:w="120" w:type="dxa"/>
              <w:end w:w="120" w:type="dxa"/>
            </w:tcMar>
          </w:tcPr>
          <w:p>
            <w:pPr>
              <w:spacing w:after="0"/>
            </w:pPr>
            <w:r>
              <w:rPr>
                <w:rFonts w:ascii="Calibri" w:hAnsi="Calibri"/>
                <w:b/>
                <w:i w:val="0"/>
                <w:color w:val="0B2545"/>
                <w:sz w:val="16"/>
              </w:rPr>
              <w:t>Attribute</w:t>
            </w:r>
          </w:p>
        </w:tc>
        <w:tc>
          <w:tcPr>
            <w:tcW w:type="dxa" w:w="7260"/>
            <w:shd w:fill="F2F4F7"/>
            <w:vAlign w:val="center"/>
            <w:tcMar>
              <w:top w:w="80" w:type="dxa"/>
              <w:bottom w:w="80" w:type="dxa"/>
              <w:start w:w="120" w:type="dxa"/>
              <w:end w:w="120" w:type="dxa"/>
            </w:tcMar>
          </w:tcPr>
          <w:p>
            <w:pPr>
              <w:spacing w:after="0"/>
            </w:pPr>
            <w:r>
              <w:rPr>
                <w:rFonts w:ascii="Calibri" w:hAnsi="Calibri"/>
                <w:b/>
                <w:i w:val="0"/>
                <w:color w:val="0B2545"/>
                <w:sz w:val="16"/>
              </w:rPr>
              <w:t>Definition</w:t>
            </w:r>
          </w:p>
        </w:tc>
      </w:tr>
      <w:tr>
        <w:trPr>
          <w:cantSplit/>
        </w:trPr>
        <w:tc>
          <w:tcPr>
            <w:tcW w:type="dxa" w:w="2100"/>
            <w:vAlign w:val="center"/>
            <w:tcMar>
              <w:top w:w="80" w:type="dxa"/>
              <w:bottom w:w="80" w:type="dxa"/>
              <w:start w:w="120" w:type="dxa"/>
              <w:end w:w="120" w:type="dxa"/>
            </w:tcMar>
          </w:tcPr>
          <w:p>
            <w:pPr>
              <w:spacing w:after="0" w:line="250" w:lineRule="auto"/>
            </w:pPr>
            <w:r>
              <w:rPr>
                <w:rFonts w:ascii="Calibri" w:hAnsi="Calibri"/>
                <w:b w:val="0"/>
                <w:i w:val="0"/>
                <w:color w:val="0B2545"/>
                <w:sz w:val="16"/>
              </w:rPr>
              <w:t>HIGH</w:t>
            </w:r>
          </w:p>
        </w:tc>
        <w:tc>
          <w:tcPr>
            <w:tcW w:type="dxa" w:w="7260"/>
            <w:vAlign w:val="center"/>
            <w:tcMar>
              <w:top w:w="80" w:type="dxa"/>
              <w:bottom w:w="80" w:type="dxa"/>
              <w:start w:w="120" w:type="dxa"/>
              <w:end w:w="120" w:type="dxa"/>
            </w:tcMar>
          </w:tcPr>
          <w:p>
            <w:pPr>
              <w:spacing w:after="0" w:line="250" w:lineRule="auto"/>
            </w:pPr>
            <w:r>
              <w:rPr>
                <w:rFonts w:ascii="Calibri" w:hAnsi="Calibri"/>
                <w:b w:val="0"/>
                <w:i w:val="0"/>
                <w:color w:val="0B2545"/>
                <w:sz w:val="16"/>
              </w:rPr>
              <w:t>Required for trustworthy operation, data integrity, critical business continuity or a primary owner decision.</w:t>
            </w:r>
          </w:p>
        </w:tc>
      </w:tr>
      <w:tr>
        <w:trPr>
          <w:cantSplit/>
        </w:trPr>
        <w:tc>
          <w:tcPr>
            <w:tcW w:type="dxa" w:w="2100"/>
            <w:vAlign w:val="center"/>
            <w:tcMar>
              <w:top w:w="80" w:type="dxa"/>
              <w:bottom w:w="80" w:type="dxa"/>
              <w:start w:w="120" w:type="dxa"/>
              <w:end w:w="120" w:type="dxa"/>
            </w:tcMar>
          </w:tcPr>
          <w:p>
            <w:pPr>
              <w:spacing w:after="0" w:line="250" w:lineRule="auto"/>
            </w:pPr>
            <w:r>
              <w:rPr>
                <w:rFonts w:ascii="Calibri" w:hAnsi="Calibri"/>
                <w:b w:val="0"/>
                <w:i w:val="0"/>
                <w:color w:val="0B2545"/>
                <w:sz w:val="16"/>
              </w:rPr>
              <w:t>MEDIUM</w:t>
            </w:r>
          </w:p>
        </w:tc>
        <w:tc>
          <w:tcPr>
            <w:tcW w:type="dxa" w:w="7260"/>
            <w:vAlign w:val="center"/>
            <w:tcMar>
              <w:top w:w="80" w:type="dxa"/>
              <w:bottom w:w="80" w:type="dxa"/>
              <w:start w:w="120" w:type="dxa"/>
              <w:end w:w="120" w:type="dxa"/>
            </w:tcMar>
          </w:tcPr>
          <w:p>
            <w:pPr>
              <w:spacing w:after="0" w:line="250" w:lineRule="auto"/>
            </w:pPr>
            <w:r>
              <w:rPr>
                <w:rFonts w:ascii="Calibri" w:hAnsi="Calibri"/>
                <w:b w:val="0"/>
                <w:i w:val="0"/>
                <w:color w:val="0B2545"/>
                <w:sz w:val="16"/>
              </w:rPr>
              <w:t>Required for a complete professional system but may be phased after the critical MVP path.</w:t>
            </w:r>
          </w:p>
        </w:tc>
      </w:tr>
      <w:tr>
        <w:trPr>
          <w:cantSplit/>
        </w:trPr>
        <w:tc>
          <w:tcPr>
            <w:tcW w:type="dxa" w:w="2100"/>
            <w:vAlign w:val="center"/>
            <w:tcMar>
              <w:top w:w="80" w:type="dxa"/>
              <w:bottom w:w="80" w:type="dxa"/>
              <w:start w:w="120" w:type="dxa"/>
              <w:end w:w="120" w:type="dxa"/>
            </w:tcMar>
          </w:tcPr>
          <w:p>
            <w:pPr>
              <w:spacing w:after="0" w:line="250" w:lineRule="auto"/>
            </w:pPr>
            <w:r>
              <w:rPr>
                <w:rFonts w:ascii="Calibri" w:hAnsi="Calibri"/>
                <w:b w:val="0"/>
                <w:i w:val="0"/>
                <w:color w:val="0B2545"/>
                <w:sz w:val="16"/>
              </w:rPr>
              <w:t>Owner</w:t>
            </w:r>
          </w:p>
        </w:tc>
        <w:tc>
          <w:tcPr>
            <w:tcW w:type="dxa" w:w="7260"/>
            <w:vAlign w:val="center"/>
            <w:tcMar>
              <w:top w:w="80" w:type="dxa"/>
              <w:bottom w:w="80" w:type="dxa"/>
              <w:start w:w="120" w:type="dxa"/>
              <w:end w:w="120" w:type="dxa"/>
            </w:tcMar>
          </w:tcPr>
          <w:p>
            <w:pPr>
              <w:spacing w:after="0" w:line="250" w:lineRule="auto"/>
            </w:pPr>
            <w:r>
              <w:rPr>
                <w:rFonts w:ascii="Calibri" w:hAnsi="Calibri"/>
                <w:b w:val="0"/>
                <w:i w:val="0"/>
                <w:color w:val="0B2545"/>
                <w:sz w:val="16"/>
              </w:rPr>
              <w:t>Directly stated or confirmed by the owner; wording may be normalized for precision.</w:t>
            </w:r>
          </w:p>
        </w:tc>
      </w:tr>
      <w:tr>
        <w:trPr>
          <w:cantSplit/>
        </w:trPr>
        <w:tc>
          <w:tcPr>
            <w:tcW w:type="dxa" w:w="2100"/>
            <w:vAlign w:val="center"/>
            <w:tcMar>
              <w:top w:w="80" w:type="dxa"/>
              <w:bottom w:w="80" w:type="dxa"/>
              <w:start w:w="120" w:type="dxa"/>
              <w:end w:w="120" w:type="dxa"/>
            </w:tcMar>
          </w:tcPr>
          <w:p>
            <w:pPr>
              <w:spacing w:after="0" w:line="250" w:lineRule="auto"/>
            </w:pPr>
            <w:r>
              <w:rPr>
                <w:rFonts w:ascii="Calibri" w:hAnsi="Calibri"/>
                <w:b w:val="0"/>
                <w:i w:val="0"/>
                <w:color w:val="0B2545"/>
                <w:sz w:val="16"/>
              </w:rPr>
              <w:t>Derived</w:t>
            </w:r>
          </w:p>
        </w:tc>
        <w:tc>
          <w:tcPr>
            <w:tcW w:type="dxa" w:w="7260"/>
            <w:vAlign w:val="center"/>
            <w:tcMar>
              <w:top w:w="80" w:type="dxa"/>
              <w:bottom w:w="80" w:type="dxa"/>
              <w:start w:w="120" w:type="dxa"/>
              <w:end w:w="120" w:type="dxa"/>
            </w:tcMar>
          </w:tcPr>
          <w:p>
            <w:pPr>
              <w:spacing w:after="0" w:line="250" w:lineRule="auto"/>
            </w:pPr>
            <w:r>
              <w:rPr>
                <w:rFonts w:ascii="Calibri" w:hAnsi="Calibri"/>
                <w:b w:val="0"/>
                <w:i w:val="0"/>
                <w:color w:val="0B2545"/>
                <w:sz w:val="16"/>
              </w:rPr>
              <w:t>Added to make an owner requirement implementable, testable, secure or recoverable.</w:t>
            </w:r>
          </w:p>
        </w:tc>
      </w:tr>
      <w:tr>
        <w:trPr>
          <w:cantSplit/>
        </w:trPr>
        <w:tc>
          <w:tcPr>
            <w:tcW w:type="dxa" w:w="2100"/>
            <w:vAlign w:val="center"/>
            <w:tcMar>
              <w:top w:w="80" w:type="dxa"/>
              <w:bottom w:w="80" w:type="dxa"/>
              <w:start w:w="120" w:type="dxa"/>
              <w:end w:w="120" w:type="dxa"/>
            </w:tcMar>
          </w:tcPr>
          <w:p>
            <w:pPr>
              <w:spacing w:after="0" w:line="250" w:lineRule="auto"/>
            </w:pPr>
            <w:r>
              <w:rPr>
                <w:rFonts w:ascii="Calibri" w:hAnsi="Calibri"/>
                <w:b w:val="0"/>
                <w:i w:val="0"/>
                <w:color w:val="0B2545"/>
                <w:sz w:val="16"/>
              </w:rPr>
              <w:t>Canonical fact</w:t>
            </w:r>
          </w:p>
        </w:tc>
        <w:tc>
          <w:tcPr>
            <w:tcW w:type="dxa" w:w="7260"/>
            <w:vAlign w:val="center"/>
            <w:tcMar>
              <w:top w:w="80" w:type="dxa"/>
              <w:bottom w:w="80" w:type="dxa"/>
              <w:start w:w="120" w:type="dxa"/>
              <w:end w:w="120" w:type="dxa"/>
            </w:tcMar>
          </w:tcPr>
          <w:p>
            <w:pPr>
              <w:spacing w:after="0" w:line="250" w:lineRule="auto"/>
            </w:pPr>
            <w:r>
              <w:rPr>
                <w:rFonts w:ascii="Calibri" w:hAnsi="Calibri"/>
                <w:b w:val="0"/>
                <w:i w:val="0"/>
                <w:color w:val="0B2545"/>
                <w:sz w:val="16"/>
              </w:rPr>
              <w:t>Authoritative stored fact. Views and helper values derive from it rather than being separately maintained.</w:t>
            </w:r>
          </w:p>
        </w:tc>
      </w:tr>
      <w:tr>
        <w:trPr>
          <w:cantSplit/>
        </w:trPr>
        <w:tc>
          <w:tcPr>
            <w:tcW w:type="dxa" w:w="2100"/>
            <w:vAlign w:val="center"/>
            <w:tcMar>
              <w:top w:w="80" w:type="dxa"/>
              <w:bottom w:w="80" w:type="dxa"/>
              <w:start w:w="120" w:type="dxa"/>
              <w:end w:w="120" w:type="dxa"/>
            </w:tcMar>
          </w:tcPr>
          <w:p>
            <w:pPr>
              <w:spacing w:after="0" w:line="250" w:lineRule="auto"/>
            </w:pPr>
            <w:r>
              <w:rPr>
                <w:rFonts w:ascii="Calibri" w:hAnsi="Calibri"/>
                <w:b w:val="0"/>
                <w:i w:val="0"/>
                <w:color w:val="0B2545"/>
                <w:sz w:val="16"/>
              </w:rPr>
              <w:t>Projection</w:t>
            </w:r>
          </w:p>
        </w:tc>
        <w:tc>
          <w:tcPr>
            <w:tcW w:type="dxa" w:w="7260"/>
            <w:vAlign w:val="center"/>
            <w:tcMar>
              <w:top w:w="80" w:type="dxa"/>
              <w:bottom w:w="80" w:type="dxa"/>
              <w:start w:w="120" w:type="dxa"/>
              <w:end w:w="120" w:type="dxa"/>
            </w:tcMar>
          </w:tcPr>
          <w:p>
            <w:pPr>
              <w:spacing w:after="0" w:line="250" w:lineRule="auto"/>
            </w:pPr>
            <w:r>
              <w:rPr>
                <w:rFonts w:ascii="Calibri" w:hAnsi="Calibri"/>
                <w:b w:val="0"/>
                <w:i w:val="0"/>
                <w:color w:val="0B2545"/>
                <w:sz w:val="16"/>
              </w:rPr>
              <w:t>Calculated expectation based on effective-dated assumptions; never confused with actual cash or executed transactions.</w:t>
            </w:r>
          </w:p>
        </w:tc>
      </w:tr>
    </w:tbl>
    <w:p>
      <w:pPr>
        <w:spacing w:after="20"/>
      </w:pPr>
    </w:p>
    <w:p>
      <w:r>
        <w:br w:type="page"/>
      </w:r>
    </w:p>
    <w:p>
      <w:pPr>
        <w:pStyle w:val="Heading1"/>
      </w:pPr>
      <w:r>
        <w:t>4. Cross-Cutting Requirement Catalog</w:t>
      </w:r>
    </w:p>
    <w:p>
      <w:pPr>
        <w:pStyle w:val="Heading2"/>
      </w:pPr>
      <w:r>
        <w:t>4.1 Data truth, identity and financial-state separation</w:t>
      </w:r>
    </w:p>
    <w:tbl>
      <w:tblPr>
        <w:tblStyle w:val="TableGrid"/>
        <w:tblW w:type="dxa" w:w="9360"/>
        <w:jc w:val="left"/>
        <w:tblLayout w:type="fixed"/>
        <w:tblLook w:firstColumn="1" w:firstRow="1" w:lastColumn="0" w:lastRow="0" w:noHBand="0" w:noVBand="1" w:val="04A0"/>
        <w:tblInd w:w="120" w:type="dxa"/>
      </w:tblPr>
      <w:tblGrid>
        <w:gridCol w:w="1050"/>
        <w:gridCol w:w="850"/>
        <w:gridCol w:w="850"/>
        <w:gridCol w:w="1900"/>
        <w:gridCol w:w="4710"/>
      </w:tblGrid>
      <w:tr>
        <w:trPr>
          <w:tblHeader w:val="true"/>
          <w:cantSplit/>
        </w:trPr>
        <w:tc>
          <w:tcPr>
            <w:tcW w:type="dxa" w:w="1050"/>
            <w:shd w:fill="E8EEF5"/>
            <w:vAlign w:val="center"/>
            <w:tcMar>
              <w:top w:w="80" w:type="dxa"/>
              <w:bottom w:w="80" w:type="dxa"/>
              <w:start w:w="120" w:type="dxa"/>
              <w:end w:w="120" w:type="dxa"/>
            </w:tcMar>
          </w:tcPr>
          <w:p>
            <w:pPr>
              <w:spacing w:after="0"/>
            </w:pPr>
            <w:r>
              <w:rPr>
                <w:rFonts w:ascii="Calibri" w:hAnsi="Calibri"/>
                <w:b/>
                <w:i w:val="0"/>
                <w:color w:val="0B2545"/>
                <w:sz w:val="15"/>
              </w:rPr>
              <w:t>ID</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Priority</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Source</w:t>
            </w:r>
          </w:p>
        </w:tc>
        <w:tc>
          <w:tcPr>
            <w:tcW w:type="dxa" w:w="1900"/>
            <w:shd w:fill="E8EEF5"/>
            <w:vAlign w:val="center"/>
            <w:tcMar>
              <w:top w:w="80" w:type="dxa"/>
              <w:bottom w:w="80" w:type="dxa"/>
              <w:start w:w="120" w:type="dxa"/>
              <w:end w:w="120" w:type="dxa"/>
            </w:tcMar>
          </w:tcPr>
          <w:p>
            <w:pPr>
              <w:spacing w:after="0"/>
            </w:pPr>
            <w:r>
              <w:rPr>
                <w:rFonts w:ascii="Calibri" w:hAnsi="Calibri"/>
                <w:b/>
                <w:i w:val="0"/>
                <w:color w:val="0B2545"/>
                <w:sz w:val="15"/>
              </w:rPr>
              <w:t>Name</w:t>
            </w:r>
          </w:p>
        </w:tc>
        <w:tc>
          <w:tcPr>
            <w:tcW w:type="dxa" w:w="4710"/>
            <w:shd w:fill="E8EEF5"/>
            <w:vAlign w:val="center"/>
            <w:tcMar>
              <w:top w:w="80" w:type="dxa"/>
              <w:bottom w:w="80" w:type="dxa"/>
              <w:start w:w="120" w:type="dxa"/>
              <w:end w:w="120" w:type="dxa"/>
            </w:tcMar>
          </w:tcPr>
          <w:p>
            <w:pPr>
              <w:spacing w:after="0"/>
            </w:pPr>
            <w:r>
              <w:rPr>
                <w:rFonts w:ascii="Calibri" w:hAnsi="Calibri"/>
                <w:b/>
                <w:i w:val="0"/>
                <w:color w:val="0B2545"/>
                <w:sz w:val="15"/>
              </w:rPr>
              <w:t>Requirement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BR-X-01</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Single source of truth</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Each business fact must be entered or imported once into its authoritative record. All tabs, dashboards and reports derive their views from that fact.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BR-X-02</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Accuracy over opaque automation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Prefer accurate, explainable results over automation that cannot be inspected. Structured manual validation, correction and approval remain supported.</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BR-X-03</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Local write-first authority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The local application database is the live system of record. Cloud storage may transport backups but is not the operational database.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BR-X-04</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Canonical account identity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Match accounts by broker_account_number. Canonical accounts are Income, Car, Health, FI Roth, Speculation, 9 (Schwab), Robinhood and ENERGYX, with cash symbols and broker identifiers governed by the authoritative Grok templates.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BR-X-05</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Canonical week</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Use one Saturday-through-Friday week key for plan, actual, snapshots, declarations, imports, comparisons and reporting in America/New_York.</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BR-X-06</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Dividend-state separation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Keep declaration history per share, approved Plan per share, projected income from Plan × quantity × schedule, and actual cash received as distinct states.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BR-X-07</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Import idempotency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Reprocessing the same source transaction must not create a duplicate. Import identity includes source/broker identifiers, account identity and transaction evidence.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BR-X-08</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Explicit transaction events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Each dividend, option premium, lot sale, day trade, purchase, distribution and other supported activity is an independent immutable event with an auditable correction path.</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BR-X-09</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Explicit lot identity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The system never assumes FIFO. It may recommend lowest-cost-first, but selected lots and post-trade broker reconciliation require owner approval.</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BR-X-10</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Symbol continuity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Use canonical security identity with effective-dated symbol aliases. A confirmed rename updates current displays ubiquitously while retaining historical symbols and an automated-action log.</w:t>
            </w:r>
          </w:p>
        </w:tc>
      </w:tr>
    </w:tbl>
    <w:p>
      <w:pPr>
        <w:spacing w:after="20"/>
      </w:pPr>
    </w:p>
    <w:p>
      <w:pPr>
        <w:pStyle w:val="Heading2"/>
      </w:pPr>
      <w:r>
        <w:t>4.2 Cost basis, ROC and Marketplace MAGI</w:t>
      </w:r>
    </w:p>
    <w:tbl>
      <w:tblPr>
        <w:tblStyle w:val="TableGrid"/>
        <w:tblW w:type="dxa" w:w="9360"/>
        <w:jc w:val="left"/>
        <w:tblLayout w:type="fixed"/>
        <w:tblLook w:firstColumn="1" w:firstRow="1" w:lastColumn="0" w:lastRow="0" w:noHBand="0" w:noVBand="1" w:val="04A0"/>
        <w:tblInd w:w="120" w:type="dxa"/>
      </w:tblPr>
      <w:tblGrid>
        <w:gridCol w:w="1050"/>
        <w:gridCol w:w="850"/>
        <w:gridCol w:w="850"/>
        <w:gridCol w:w="1900"/>
        <w:gridCol w:w="4710"/>
      </w:tblGrid>
      <w:tr>
        <w:trPr>
          <w:tblHeader w:val="true"/>
          <w:cantSplit/>
        </w:trPr>
        <w:tc>
          <w:tcPr>
            <w:tcW w:type="dxa" w:w="1050"/>
            <w:shd w:fill="E8EEF5"/>
            <w:vAlign w:val="center"/>
            <w:tcMar>
              <w:top w:w="80" w:type="dxa"/>
              <w:bottom w:w="80" w:type="dxa"/>
              <w:start w:w="120" w:type="dxa"/>
              <w:end w:w="120" w:type="dxa"/>
            </w:tcMar>
          </w:tcPr>
          <w:p>
            <w:pPr>
              <w:spacing w:after="0"/>
            </w:pPr>
            <w:r>
              <w:rPr>
                <w:rFonts w:ascii="Calibri" w:hAnsi="Calibri"/>
                <w:b/>
                <w:i w:val="0"/>
                <w:color w:val="0B2545"/>
                <w:sz w:val="15"/>
              </w:rPr>
              <w:t>ID</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Priority</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Source</w:t>
            </w:r>
          </w:p>
        </w:tc>
        <w:tc>
          <w:tcPr>
            <w:tcW w:type="dxa" w:w="1900"/>
            <w:shd w:fill="E8EEF5"/>
            <w:vAlign w:val="center"/>
            <w:tcMar>
              <w:top w:w="80" w:type="dxa"/>
              <w:bottom w:w="80" w:type="dxa"/>
              <w:start w:w="120" w:type="dxa"/>
              <w:end w:w="120" w:type="dxa"/>
            </w:tcMar>
          </w:tcPr>
          <w:p>
            <w:pPr>
              <w:spacing w:after="0"/>
            </w:pPr>
            <w:r>
              <w:rPr>
                <w:rFonts w:ascii="Calibri" w:hAnsi="Calibri"/>
                <w:b/>
                <w:i w:val="0"/>
                <w:color w:val="0B2545"/>
                <w:sz w:val="15"/>
              </w:rPr>
              <w:t>Name</w:t>
            </w:r>
          </w:p>
        </w:tc>
        <w:tc>
          <w:tcPr>
            <w:tcW w:type="dxa" w:w="4710"/>
            <w:shd w:fill="E8EEF5"/>
            <w:vAlign w:val="center"/>
            <w:tcMar>
              <w:top w:w="80" w:type="dxa"/>
              <w:bottom w:w="80" w:type="dxa"/>
              <w:start w:w="120" w:type="dxa"/>
              <w:end w:w="120" w:type="dxa"/>
            </w:tcMar>
          </w:tcPr>
          <w:p>
            <w:pPr>
              <w:spacing w:after="0"/>
            </w:pPr>
            <w:r>
              <w:rPr>
                <w:rFonts w:ascii="Calibri" w:hAnsi="Calibri"/>
                <w:b/>
                <w:i w:val="0"/>
                <w:color w:val="0B2545"/>
                <w:sz w:val="15"/>
              </w:rPr>
              <w:t>Requirement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BR-X-11</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Dual cost representation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Retain actual-price-paid basis for investment performance and separately retain ROC-adjusted tax basis for taxable Car lots. Neither may overwrite the other.</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BR-X-12</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ROC lifecycle</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Capture ROC amount, source tax year/document, security/lot allocation, cumulative basis reduction, remaining tax basis and any amount above zero basis. Adjustments require approval and audit.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BR-X-13</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Performance treatment</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Evaluate actual price paid, realized price P/L and total distributions received as separately visible performance components. Do not add realized losses or ROC to replacement-position purchase cost.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BR-X-14</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Marketplace MAGI projection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Project household Marketplace MAGI using configurable tax-form categories and household data, not a narrow account-name rule. Reconcile final results to authoritative tax forms.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BR-X-15</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Tax-advantaged activity exclusion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Internal dividends and trades in IRA, Roth and HSA accounts do not enter Marketplace MAGI merely because they occurred; include taxable distributions or other reportable events when applicable.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BR-X-16</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Effective-dated threshold</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Calculate Marketplace thresholds from coverage year, household size, jurisdiction and applicable rules. Do not hardcode approximately $84,000.</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BR-X-17</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Projection warnings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Warn when projected household MAGI approaches or exceeds configurable safety margins and the applicable threshold. Show actual-to-date, projected remainder, assumptions and uncertainty.</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10" w:type="dxa"/>
              <w:bottom w:w="110" w:type="dxa"/>
              <w:start w:w="120" w:type="dxa"/>
              <w:end w:w="120" w:type="dxa"/>
            </w:tcMar>
            <w:shd w:fill="FFF2CC"/>
          </w:tcPr>
          <w:p>
            <w:pPr>
              <w:spacing w:after="0"/>
            </w:pPr>
            <w:r>
              <w:rPr>
                <w:rFonts w:ascii="Calibri" w:hAnsi="Calibri"/>
                <w:b/>
                <w:i w:val="0"/>
                <w:color w:val="1F4D78"/>
                <w:sz w:val="22"/>
              </w:rPr>
              <w:t xml:space="preserve">Tax-boundary control: </w:t>
            </w:r>
            <w:r>
              <w:rPr>
                <w:rFonts w:ascii="Calibri" w:hAnsi="Calibri"/>
                <w:b w:val="0"/>
                <w:i w:val="0"/>
                <w:color w:val="1F4D78"/>
                <w:sz w:val="22"/>
              </w:rPr>
              <w:t>The system provides planning support, traceable projections and warnings. It does not replace Forms 1099, 1040, 8962 or professional tax advice. Authoritative year-end tax documents determine actual liability and credit eligibility.</w:t>
            </w:r>
          </w:p>
        </w:tc>
      </w:tr>
    </w:tbl>
    <w:p>
      <w:pPr>
        <w:spacing w:after="20"/>
      </w:pPr>
    </w:p>
    <w:p>
      <w:pPr>
        <w:pStyle w:val="Heading2"/>
      </w:pPr>
      <w:r>
        <w:t>4.3 User experience and architecture</w:t>
      </w:r>
    </w:p>
    <w:tbl>
      <w:tblPr>
        <w:tblStyle w:val="TableGrid"/>
        <w:tblW w:type="dxa" w:w="9360"/>
        <w:jc w:val="left"/>
        <w:tblLayout w:type="fixed"/>
        <w:tblLook w:firstColumn="1" w:firstRow="1" w:lastColumn="0" w:lastRow="0" w:noHBand="0" w:noVBand="1" w:val="04A0"/>
        <w:tblInd w:w="120" w:type="dxa"/>
      </w:tblPr>
      <w:tblGrid>
        <w:gridCol w:w="1050"/>
        <w:gridCol w:w="850"/>
        <w:gridCol w:w="850"/>
        <w:gridCol w:w="1900"/>
        <w:gridCol w:w="4710"/>
      </w:tblGrid>
      <w:tr>
        <w:trPr>
          <w:tblHeader w:val="true"/>
          <w:cantSplit/>
        </w:trPr>
        <w:tc>
          <w:tcPr>
            <w:tcW w:type="dxa" w:w="1050"/>
            <w:shd w:fill="E8EEF5"/>
            <w:vAlign w:val="center"/>
            <w:tcMar>
              <w:top w:w="80" w:type="dxa"/>
              <w:bottom w:w="80" w:type="dxa"/>
              <w:start w:w="120" w:type="dxa"/>
              <w:end w:w="120" w:type="dxa"/>
            </w:tcMar>
          </w:tcPr>
          <w:p>
            <w:pPr>
              <w:spacing w:after="0"/>
            </w:pPr>
            <w:r>
              <w:rPr>
                <w:rFonts w:ascii="Calibri" w:hAnsi="Calibri"/>
                <w:b/>
                <w:i w:val="0"/>
                <w:color w:val="0B2545"/>
                <w:sz w:val="15"/>
              </w:rPr>
              <w:t>ID</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Priority</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Source</w:t>
            </w:r>
          </w:p>
        </w:tc>
        <w:tc>
          <w:tcPr>
            <w:tcW w:type="dxa" w:w="1900"/>
            <w:shd w:fill="E8EEF5"/>
            <w:vAlign w:val="center"/>
            <w:tcMar>
              <w:top w:w="80" w:type="dxa"/>
              <w:bottom w:w="80" w:type="dxa"/>
              <w:start w:w="120" w:type="dxa"/>
              <w:end w:w="120" w:type="dxa"/>
            </w:tcMar>
          </w:tcPr>
          <w:p>
            <w:pPr>
              <w:spacing w:after="0"/>
            </w:pPr>
            <w:r>
              <w:rPr>
                <w:rFonts w:ascii="Calibri" w:hAnsi="Calibri"/>
                <w:b/>
                <w:i w:val="0"/>
                <w:color w:val="0B2545"/>
                <w:sz w:val="15"/>
              </w:rPr>
              <w:t>Name</w:t>
            </w:r>
          </w:p>
        </w:tc>
        <w:tc>
          <w:tcPr>
            <w:tcW w:type="dxa" w:w="4710"/>
            <w:shd w:fill="E8EEF5"/>
            <w:vAlign w:val="center"/>
            <w:tcMar>
              <w:top w:w="80" w:type="dxa"/>
              <w:bottom w:w="80" w:type="dxa"/>
              <w:start w:w="120" w:type="dxa"/>
              <w:end w:w="120" w:type="dxa"/>
            </w:tcMar>
          </w:tcPr>
          <w:p>
            <w:pPr>
              <w:spacing w:after="0"/>
            </w:pPr>
            <w:r>
              <w:rPr>
                <w:rFonts w:ascii="Calibri" w:hAnsi="Calibri"/>
                <w:b/>
                <w:i w:val="0"/>
                <w:color w:val="0B2545"/>
                <w:sz w:val="15"/>
              </w:rPr>
              <w:t>Requirement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BR-X-18</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Modern organized UI</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Provide consistent navigation, terminology, filters, summaries, drill-down and clear separation of inputs, projections, actuals, warnings and approvals.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BR-X-19</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Purposeful visualization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Use charts and graphics for trendable or comparative information, including income, allocation, forecast variance, performance, tax exposure and cash sufficiency.</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BR-X-20</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Details remain accessible</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Graphics never replace the exact values, assumptions, calculations and source evidence needed to validate a result.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BR-X-21</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Modular component architecture</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Implement bounded, replaceable components rather than a monolith so the MVP can expand into a financial operating system.</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BR-X-22</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Intent over spreadsheet mechanics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Preserve the business outcome represented by legacy processes but do not carry forward spreadsheet limitations as target requirements.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BR-X-23</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Progressive automation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Deliver capabilities through manual entry, structured import and automation as needed. Replace adapters over time without redesigning canonical facts.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BR-X-24</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MEDIUM</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Measurable wow factor</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Deliver materially better usability through capture-once updates, scenario comparison, allocation feedback, explainable alerts, responsive drill-down and polished visual organization.</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BR-X-25</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MEDIUM</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Accessibility and responsiveness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Support keyboard operation, legible contrast, scalable text, descriptive chart labels and practical desktop/tablet layouts.</w:t>
            </w:r>
          </w:p>
        </w:tc>
      </w:tr>
    </w:tbl>
    <w:p>
      <w:pPr>
        <w:spacing w:after="20"/>
      </w:pPr>
    </w:p>
    <w:p>
      <w:r>
        <w:br w:type="page"/>
      </w:r>
    </w:p>
    <w:p>
      <w:pPr>
        <w:pStyle w:val="Heading2"/>
      </w:pPr>
      <w:r>
        <w:t>4.4 AI-assisted planning and decision support</w:t>
      </w:r>
    </w:p>
    <w:tbl>
      <w:tblPr>
        <w:tblStyle w:val="TableGrid"/>
        <w:tblW w:type="dxa" w:w="9360"/>
        <w:jc w:val="left"/>
        <w:tblLayout w:type="fixed"/>
        <w:tblLook w:firstColumn="1" w:firstRow="1" w:lastColumn="0" w:lastRow="0" w:noHBand="0" w:noVBand="1" w:val="04A0"/>
        <w:tblInd w:w="120" w:type="dxa"/>
      </w:tblPr>
      <w:tblGrid>
        <w:gridCol w:w="1050"/>
        <w:gridCol w:w="850"/>
        <w:gridCol w:w="850"/>
        <w:gridCol w:w="1900"/>
        <w:gridCol w:w="4710"/>
      </w:tblGrid>
      <w:tr>
        <w:trPr>
          <w:tblHeader w:val="true"/>
          <w:cantSplit/>
        </w:trPr>
        <w:tc>
          <w:tcPr>
            <w:tcW w:type="dxa" w:w="1050"/>
            <w:shd w:fill="E8EEF5"/>
            <w:vAlign w:val="center"/>
            <w:tcMar>
              <w:top w:w="80" w:type="dxa"/>
              <w:bottom w:w="80" w:type="dxa"/>
              <w:start w:w="120" w:type="dxa"/>
              <w:end w:w="120" w:type="dxa"/>
            </w:tcMar>
          </w:tcPr>
          <w:p>
            <w:pPr>
              <w:spacing w:after="0"/>
            </w:pPr>
            <w:r>
              <w:rPr>
                <w:rFonts w:ascii="Calibri" w:hAnsi="Calibri"/>
                <w:b/>
                <w:i w:val="0"/>
                <w:color w:val="0B2545"/>
                <w:sz w:val="15"/>
              </w:rPr>
              <w:t>ID</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Priority</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Source</w:t>
            </w:r>
          </w:p>
        </w:tc>
        <w:tc>
          <w:tcPr>
            <w:tcW w:type="dxa" w:w="1900"/>
            <w:shd w:fill="E8EEF5"/>
            <w:vAlign w:val="center"/>
            <w:tcMar>
              <w:top w:w="80" w:type="dxa"/>
              <w:bottom w:w="80" w:type="dxa"/>
              <w:start w:w="120" w:type="dxa"/>
              <w:end w:w="120" w:type="dxa"/>
            </w:tcMar>
          </w:tcPr>
          <w:p>
            <w:pPr>
              <w:spacing w:after="0"/>
            </w:pPr>
            <w:r>
              <w:rPr>
                <w:rFonts w:ascii="Calibri" w:hAnsi="Calibri"/>
                <w:b/>
                <w:i w:val="0"/>
                <w:color w:val="0B2545"/>
                <w:sz w:val="15"/>
              </w:rPr>
              <w:t>Name</w:t>
            </w:r>
          </w:p>
        </w:tc>
        <w:tc>
          <w:tcPr>
            <w:tcW w:type="dxa" w:w="4710"/>
            <w:shd w:fill="E8EEF5"/>
            <w:vAlign w:val="center"/>
            <w:tcMar>
              <w:top w:w="80" w:type="dxa"/>
              <w:bottom w:w="80" w:type="dxa"/>
              <w:start w:w="120" w:type="dxa"/>
              <w:end w:w="120" w:type="dxa"/>
            </w:tcMar>
          </w:tcPr>
          <w:p>
            <w:pPr>
              <w:spacing w:after="0"/>
            </w:pPr>
            <w:r>
              <w:rPr>
                <w:rFonts w:ascii="Calibri" w:hAnsi="Calibri"/>
                <w:b/>
                <w:i w:val="0"/>
                <w:color w:val="0B2545"/>
                <w:sz w:val="15"/>
              </w:rPr>
              <w:t>Requirement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BR-X-26</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Governed AI API boundary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Provide a modular API integration that can receive an approved, bounded data snapshot and return explanations, comparisons, anomaly findings and what-if recommendations.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BR-X-27</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AI remains advisory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AI cannot silently alter authoritative transactions, lots, plans, classifications, targets or calculations and cannot place trades. Owner approval is mandatory.</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BR-X-28</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AI provenance</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Log the request purpose, redacted/bounded input snapshot, prompt/template version, model/provider/version, response, timestamp and resulting owner decision.</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BR-X-29</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Alternative scenario analysis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When the owner proposes an action such as exiting QYLD, compare reasonable alternatives for income reliability, capital preservation, NAV behavior, appreciation potential, allocation progress, concentration, tax impact and liquidity.</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BR-X-30</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Challenge classifications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Foundation, Core and Risk On classifications must be explainable and periodically challenged using objectives, security structure, concentration, dividend reliability, NAV/total return, backtesting analysis and configurable 3-, 6- and 12-month horizons.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BR-X-31</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No unexplained composite</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AI or deterministic rankings must expose each decision dimension, source and weighting. A composite may summarize but never conceal conflicting evidence.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BR-X-32</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AI data minimization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Send only data required for the approved task. Exclude credentials, broker account numbers and unrelated personal data; redact identifiers when they add no analytical value.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BR-X-33</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MEDIUM</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Learning from outcomes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Capture forecasts, approvals, overrides, actual results and owner feedback so decision rules and AI prompts can improve through governed versions.</w:t>
            </w:r>
          </w:p>
        </w:tc>
      </w:tr>
    </w:tbl>
    <w:p>
      <w:pPr>
        <w:spacing w:after="20"/>
      </w:pPr>
    </w:p>
    <w:p>
      <w:pPr>
        <w:pStyle w:val="Heading2"/>
      </w:pPr>
      <w:r>
        <w:t>4.5 Backup, recovery, audit and transportability</w:t>
      </w:r>
    </w:p>
    <w:tbl>
      <w:tblPr>
        <w:tblStyle w:val="TableGrid"/>
        <w:tblW w:type="dxa" w:w="9360"/>
        <w:jc w:val="left"/>
        <w:tblLayout w:type="fixed"/>
        <w:tblLook w:firstColumn="1" w:firstRow="1" w:lastColumn="0" w:lastRow="0" w:noHBand="0" w:noVBand="1" w:val="04A0"/>
        <w:tblInd w:w="120" w:type="dxa"/>
      </w:tblPr>
      <w:tblGrid>
        <w:gridCol w:w="1050"/>
        <w:gridCol w:w="850"/>
        <w:gridCol w:w="850"/>
        <w:gridCol w:w="1900"/>
        <w:gridCol w:w="4710"/>
      </w:tblGrid>
      <w:tr>
        <w:trPr>
          <w:tblHeader w:val="true"/>
          <w:cantSplit/>
        </w:trPr>
        <w:tc>
          <w:tcPr>
            <w:tcW w:type="dxa" w:w="1050"/>
            <w:shd w:fill="E8EEF5"/>
            <w:vAlign w:val="center"/>
            <w:tcMar>
              <w:top w:w="80" w:type="dxa"/>
              <w:bottom w:w="80" w:type="dxa"/>
              <w:start w:w="120" w:type="dxa"/>
              <w:end w:w="120" w:type="dxa"/>
            </w:tcMar>
          </w:tcPr>
          <w:p>
            <w:pPr>
              <w:spacing w:after="0"/>
            </w:pPr>
            <w:r>
              <w:rPr>
                <w:rFonts w:ascii="Calibri" w:hAnsi="Calibri"/>
                <w:b/>
                <w:i w:val="0"/>
                <w:color w:val="0B2545"/>
                <w:sz w:val="15"/>
              </w:rPr>
              <w:t>ID</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Priority</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Source</w:t>
            </w:r>
          </w:p>
        </w:tc>
        <w:tc>
          <w:tcPr>
            <w:tcW w:type="dxa" w:w="1900"/>
            <w:shd w:fill="E8EEF5"/>
            <w:vAlign w:val="center"/>
            <w:tcMar>
              <w:top w:w="80" w:type="dxa"/>
              <w:bottom w:w="80" w:type="dxa"/>
              <w:start w:w="120" w:type="dxa"/>
              <w:end w:w="120" w:type="dxa"/>
            </w:tcMar>
          </w:tcPr>
          <w:p>
            <w:pPr>
              <w:spacing w:after="0"/>
            </w:pPr>
            <w:r>
              <w:rPr>
                <w:rFonts w:ascii="Calibri" w:hAnsi="Calibri"/>
                <w:b/>
                <w:i w:val="0"/>
                <w:color w:val="0B2545"/>
                <w:sz w:val="15"/>
              </w:rPr>
              <w:t>Name</w:t>
            </w:r>
          </w:p>
        </w:tc>
        <w:tc>
          <w:tcPr>
            <w:tcW w:type="dxa" w:w="4710"/>
            <w:shd w:fill="E8EEF5"/>
            <w:vAlign w:val="center"/>
            <w:tcMar>
              <w:top w:w="80" w:type="dxa"/>
              <w:bottom w:w="80" w:type="dxa"/>
              <w:start w:w="120" w:type="dxa"/>
              <w:end w:w="120" w:type="dxa"/>
            </w:tcMar>
          </w:tcPr>
          <w:p>
            <w:pPr>
              <w:spacing w:after="0"/>
            </w:pPr>
            <w:r>
              <w:rPr>
                <w:rFonts w:ascii="Calibri" w:hAnsi="Calibri"/>
                <w:b/>
                <w:i w:val="0"/>
                <w:color w:val="0B2545"/>
                <w:sz w:val="15"/>
              </w:rPr>
              <w:t>Requirement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BR-X-34</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Automated backup</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Back up the local database, configuration, calculation versions and critical imported evidence on a documented schedule.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BR-X-35</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Point-in-time snapshots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Preserve restorable data and key-metric snapshots so the owner can inspect and recover a prior approved state.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BR-X-36</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Restore verification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Backups are not considered valid until an automated integrity check and periodic test restore succeed and are logged.</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BR-X-37</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Owner</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Transportability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Export canonical data, configuration, audit history and attachments in documented, nonproprietary or commonly supported formats sufficient to rebuild the system elsewhere.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BR-X-38</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Immutable audit history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Record approvals, overrides, automated actions, corrections, imports, reconciliations, symbol changes, plan versions and restore operations with actor and timestamp.</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BR-X-39</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Correction rather than erasure</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Financial facts and approved versions are corrected through linked reversal/replacement records or new versions; material history is not silently overwritten.</w:t>
            </w:r>
          </w:p>
        </w:tc>
      </w:tr>
    </w:tbl>
    <w:p>
      <w:pPr>
        <w:spacing w:after="20"/>
      </w:pPr>
    </w:p>
    <w:p>
      <w:pPr>
        <w:pStyle w:val="Heading2"/>
      </w:pPr>
      <w:r>
        <w:t>4.6 Calculation, quality and operating controls</w:t>
      </w:r>
    </w:p>
    <w:tbl>
      <w:tblPr>
        <w:tblStyle w:val="TableGrid"/>
        <w:tblW w:type="dxa" w:w="9360"/>
        <w:jc w:val="left"/>
        <w:tblLayout w:type="fixed"/>
        <w:tblLook w:firstColumn="1" w:firstRow="1" w:lastColumn="0" w:lastRow="0" w:noHBand="0" w:noVBand="1" w:val="04A0"/>
        <w:tblInd w:w="120" w:type="dxa"/>
      </w:tblPr>
      <w:tblGrid>
        <w:gridCol w:w="1050"/>
        <w:gridCol w:w="850"/>
        <w:gridCol w:w="850"/>
        <w:gridCol w:w="1900"/>
        <w:gridCol w:w="4710"/>
      </w:tblGrid>
      <w:tr>
        <w:trPr>
          <w:tblHeader w:val="true"/>
          <w:cantSplit/>
        </w:trPr>
        <w:tc>
          <w:tcPr>
            <w:tcW w:type="dxa" w:w="1050"/>
            <w:shd w:fill="E8EEF5"/>
            <w:vAlign w:val="center"/>
            <w:tcMar>
              <w:top w:w="80" w:type="dxa"/>
              <w:bottom w:w="80" w:type="dxa"/>
              <w:start w:w="120" w:type="dxa"/>
              <w:end w:w="120" w:type="dxa"/>
            </w:tcMar>
          </w:tcPr>
          <w:p>
            <w:pPr>
              <w:spacing w:after="0"/>
            </w:pPr>
            <w:r>
              <w:rPr>
                <w:rFonts w:ascii="Calibri" w:hAnsi="Calibri"/>
                <w:b/>
                <w:i w:val="0"/>
                <w:color w:val="0B2545"/>
                <w:sz w:val="15"/>
              </w:rPr>
              <w:t>ID</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Priority</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Source</w:t>
            </w:r>
          </w:p>
        </w:tc>
        <w:tc>
          <w:tcPr>
            <w:tcW w:type="dxa" w:w="1900"/>
            <w:shd w:fill="E8EEF5"/>
            <w:vAlign w:val="center"/>
            <w:tcMar>
              <w:top w:w="80" w:type="dxa"/>
              <w:bottom w:w="80" w:type="dxa"/>
              <w:start w:w="120" w:type="dxa"/>
              <w:end w:w="120" w:type="dxa"/>
            </w:tcMar>
          </w:tcPr>
          <w:p>
            <w:pPr>
              <w:spacing w:after="0"/>
            </w:pPr>
            <w:r>
              <w:rPr>
                <w:rFonts w:ascii="Calibri" w:hAnsi="Calibri"/>
                <w:b/>
                <w:i w:val="0"/>
                <w:color w:val="0B2545"/>
                <w:sz w:val="15"/>
              </w:rPr>
              <w:t>Name</w:t>
            </w:r>
          </w:p>
        </w:tc>
        <w:tc>
          <w:tcPr>
            <w:tcW w:type="dxa" w:w="4710"/>
            <w:shd w:fill="E8EEF5"/>
            <w:vAlign w:val="center"/>
            <w:tcMar>
              <w:top w:w="80" w:type="dxa"/>
              <w:bottom w:w="80" w:type="dxa"/>
              <w:start w:w="120" w:type="dxa"/>
              <w:end w:w="120" w:type="dxa"/>
            </w:tcMar>
          </w:tcPr>
          <w:p>
            <w:pPr>
              <w:spacing w:after="0"/>
            </w:pPr>
            <w:r>
              <w:rPr>
                <w:rFonts w:ascii="Calibri" w:hAnsi="Calibri"/>
                <w:b/>
                <w:i w:val="0"/>
                <w:color w:val="0B2545"/>
                <w:sz w:val="15"/>
              </w:rPr>
              <w:t>Requirement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BR-X-40</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Decimal financial arithmetic</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Store and calculate currency, quantities, rates and basis using defined decimal precision; round only at documented presentation or reporting boundaries.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BR-X-41</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Effective-dated assumptions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Plans, allocation targets, classifications, tax rules, prices and calculation versions carry effective dates and preserve the version used in historical decisions.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BR-X-42</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Data provenance</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Every imported, manually entered or calculated value identifies its source, capture time, effective date, validation status and transformation path.</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BR-X-43</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Exception workflow</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Missing, stale, conflicting or unmatched information becomes a visible exception with severity, owner, resolution and audit trail; it is never silently converted to zero.</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BR-X-44</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Cross-view reconciliation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Holdings, ledger, Income Plan, Dashboard, Trends, Allocations and Shopping Cart must reconcile to canonical totals or display an explained variance.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BR-X-45</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Degraded operation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When market, declaration, broker or AI services are unavailable, retain last valid values with age/status, allow safe manual work and never display a stale value as current.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BR-X-46</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MEDIUM</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Performance</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Routine local views and recalculations should respond interactively on the owner’s supported Windows PC; long imports or analytics show progress and remain restartable.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BR-X-47</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Testable rules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Every calculation and warning has deterministic tests using representative weekly, monthly, quarterly, taxable, retirement, ROC, rename and multi-account cases.</w:t>
            </w:r>
          </w:p>
        </w:tc>
      </w:tr>
    </w:tbl>
    <w:p>
      <w:pPr>
        <w:spacing w:after="20"/>
      </w:pPr>
    </w:p>
    <w:p>
      <w:pPr>
        <w:pStyle w:val="Heading2"/>
      </w:pPr>
      <w:r>
        <w:t>4.7 Security, configuration and integration</w:t>
      </w:r>
    </w:p>
    <w:tbl>
      <w:tblPr>
        <w:tblStyle w:val="TableGrid"/>
        <w:tblW w:type="dxa" w:w="9360"/>
        <w:jc w:val="left"/>
        <w:tblLayout w:type="fixed"/>
        <w:tblLook w:firstColumn="1" w:firstRow="1" w:lastColumn="0" w:lastRow="0" w:noHBand="0" w:noVBand="1" w:val="04A0"/>
        <w:tblInd w:w="120" w:type="dxa"/>
      </w:tblPr>
      <w:tblGrid>
        <w:gridCol w:w="1050"/>
        <w:gridCol w:w="850"/>
        <w:gridCol w:w="850"/>
        <w:gridCol w:w="1900"/>
        <w:gridCol w:w="4710"/>
      </w:tblGrid>
      <w:tr>
        <w:trPr>
          <w:tblHeader w:val="true"/>
          <w:cantSplit/>
        </w:trPr>
        <w:tc>
          <w:tcPr>
            <w:tcW w:type="dxa" w:w="1050"/>
            <w:shd w:fill="E8EEF5"/>
            <w:vAlign w:val="center"/>
            <w:tcMar>
              <w:top w:w="80" w:type="dxa"/>
              <w:bottom w:w="80" w:type="dxa"/>
              <w:start w:w="120" w:type="dxa"/>
              <w:end w:w="120" w:type="dxa"/>
            </w:tcMar>
          </w:tcPr>
          <w:p>
            <w:pPr>
              <w:spacing w:after="0"/>
            </w:pPr>
            <w:r>
              <w:rPr>
                <w:rFonts w:ascii="Calibri" w:hAnsi="Calibri"/>
                <w:b/>
                <w:i w:val="0"/>
                <w:color w:val="0B2545"/>
                <w:sz w:val="15"/>
              </w:rPr>
              <w:t>ID</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Priority</w:t>
            </w:r>
          </w:p>
        </w:tc>
        <w:tc>
          <w:tcPr>
            <w:tcW w:type="dxa" w:w="850"/>
            <w:shd w:fill="E8EEF5"/>
            <w:vAlign w:val="center"/>
            <w:tcMar>
              <w:top w:w="80" w:type="dxa"/>
              <w:bottom w:w="80" w:type="dxa"/>
              <w:start w:w="120" w:type="dxa"/>
              <w:end w:w="120" w:type="dxa"/>
            </w:tcMar>
          </w:tcPr>
          <w:p>
            <w:pPr>
              <w:spacing w:after="0"/>
            </w:pPr>
            <w:r>
              <w:rPr>
                <w:rFonts w:ascii="Calibri" w:hAnsi="Calibri"/>
                <w:b/>
                <w:i w:val="0"/>
                <w:color w:val="0B2545"/>
                <w:sz w:val="15"/>
              </w:rPr>
              <w:t>Source</w:t>
            </w:r>
          </w:p>
        </w:tc>
        <w:tc>
          <w:tcPr>
            <w:tcW w:type="dxa" w:w="1900"/>
            <w:shd w:fill="E8EEF5"/>
            <w:vAlign w:val="center"/>
            <w:tcMar>
              <w:top w:w="80" w:type="dxa"/>
              <w:bottom w:w="80" w:type="dxa"/>
              <w:start w:w="120" w:type="dxa"/>
              <w:end w:w="120" w:type="dxa"/>
            </w:tcMar>
          </w:tcPr>
          <w:p>
            <w:pPr>
              <w:spacing w:after="0"/>
            </w:pPr>
            <w:r>
              <w:rPr>
                <w:rFonts w:ascii="Calibri" w:hAnsi="Calibri"/>
                <w:b/>
                <w:i w:val="0"/>
                <w:color w:val="0B2545"/>
                <w:sz w:val="15"/>
              </w:rPr>
              <w:t>Name</w:t>
            </w:r>
          </w:p>
        </w:tc>
        <w:tc>
          <w:tcPr>
            <w:tcW w:type="dxa" w:w="4710"/>
            <w:shd w:fill="E8EEF5"/>
            <w:vAlign w:val="center"/>
            <w:tcMar>
              <w:top w:w="80" w:type="dxa"/>
              <w:bottom w:w="80" w:type="dxa"/>
              <w:start w:w="120" w:type="dxa"/>
              <w:end w:w="120" w:type="dxa"/>
            </w:tcMar>
          </w:tcPr>
          <w:p>
            <w:pPr>
              <w:spacing w:after="0"/>
            </w:pPr>
            <w:r>
              <w:rPr>
                <w:rFonts w:ascii="Calibri" w:hAnsi="Calibri"/>
                <w:b/>
                <w:i w:val="0"/>
                <w:color w:val="0B2545"/>
                <w:sz w:val="15"/>
              </w:rPr>
              <w:t>Requirement</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BR-X-48</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Secrets protection</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Credentials, tokens and broker identifiers are never embedded in source code, logs, AI prompts or exports; use protected local configuration and least privilege.</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BR-X-49</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Authorization boundary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Even for an initial single owner, distinguish read, edit, approve, import, restore and administrative actions so later multi-user support does not require a redesign.</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BR-X-50</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Versioned interfaces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Module and external-adapter contracts are explicit and versioned. Provider replacement must not change canonical business entities.</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BR-X-51</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Configurable rules</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Thresholds, safety margins, account/tier targets, data freshness and alert tolerances are governed configuration with effective dates and change history.</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BR-X-52</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MEDIUM</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Operational observability</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Record import counts, rejected rows, stale sources, calculation failures, backup status, API failures and unresolved exceptions in an owner-readable system health view.</w:t>
            </w:r>
          </w:p>
        </w:tc>
      </w:tr>
      <w:tr>
        <w:trPr>
          <w:cantSplit/>
        </w:trPr>
        <w:tc>
          <w:tcPr>
            <w:tcW w:type="dxa" w:w="1050"/>
            <w:vAlign w:val="center"/>
            <w:tcMar>
              <w:top w:w="80" w:type="dxa"/>
              <w:bottom w:w="80" w:type="dxa"/>
              <w:start w:w="120" w:type="dxa"/>
              <w:end w:w="120" w:type="dxa"/>
            </w:tcMar>
          </w:tcPr>
          <w:p>
            <w:pPr>
              <w:spacing w:after="0" w:line="250" w:lineRule="auto"/>
            </w:pPr>
            <w:r>
              <w:rPr>
                <w:rFonts w:ascii="Calibri" w:hAnsi="Calibri"/>
                <w:b w:val="0"/>
                <w:i w:val="0"/>
                <w:color w:val="0B2545"/>
                <w:sz w:val="15"/>
              </w:rPr>
              <w:t>BR-X-53</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HIGH</w:t>
            </w:r>
          </w:p>
        </w:tc>
        <w:tc>
          <w:tcPr>
            <w:tcW w:type="dxa" w:w="850"/>
            <w:vAlign w:val="center"/>
            <w:tcMar>
              <w:top w:w="80" w:type="dxa"/>
              <w:bottom w:w="80" w:type="dxa"/>
              <w:start w:w="120" w:type="dxa"/>
              <w:end w:w="120" w:type="dxa"/>
            </w:tcMar>
          </w:tcPr>
          <w:p>
            <w:pPr>
              <w:spacing w:after="0" w:line="250" w:lineRule="auto"/>
            </w:pPr>
            <w:r>
              <w:rPr>
                <w:rFonts w:ascii="Calibri" w:hAnsi="Calibri"/>
                <w:b w:val="0"/>
                <w:i w:val="0"/>
                <w:color w:val="0B2545"/>
                <w:sz w:val="15"/>
              </w:rPr>
              <w:t>Derived</w:t>
            </w:r>
          </w:p>
        </w:tc>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5"/>
              </w:rPr>
              <w:t>No autonomous money movement</w:t>
            </w:r>
          </w:p>
        </w:tc>
        <w:tc>
          <w:tcPr>
            <w:tcW w:type="dxa" w:w="4710"/>
            <w:vAlign w:val="center"/>
            <w:tcMar>
              <w:top w:w="80" w:type="dxa"/>
              <w:bottom w:w="80" w:type="dxa"/>
              <w:start w:w="120" w:type="dxa"/>
              <w:end w:w="120" w:type="dxa"/>
            </w:tcMar>
          </w:tcPr>
          <w:p>
            <w:pPr>
              <w:spacing w:after="0" w:line="250" w:lineRule="auto"/>
            </w:pPr>
            <w:r>
              <w:rPr>
                <w:rFonts w:ascii="Calibri" w:hAnsi="Calibri"/>
                <w:b w:val="0"/>
                <w:i w:val="0"/>
                <w:color w:val="0B2545"/>
                <w:sz w:val="15"/>
              </w:rPr>
              <w:t>No component may initiate a trade, transfer, withdrawal or external financial commitment without an explicit future authorization design and owner confirmation.</w:t>
            </w:r>
          </w:p>
        </w:tc>
      </w:tr>
    </w:tbl>
    <w:p>
      <w:pPr>
        <w:spacing w:after="20"/>
      </w:pPr>
    </w:p>
    <w:p>
      <w:pPr>
        <w:pStyle w:val="Heading1"/>
      </w:pPr>
      <w:r>
        <w:t>5. Canonical Cross-System Concepts</w:t>
      </w:r>
    </w:p>
    <w:tbl>
      <w:tblPr>
        <w:tblStyle w:val="TableGrid"/>
        <w:tblW w:type="dxa" w:w="9360"/>
        <w:jc w:val="left"/>
        <w:tblLayout w:type="fixed"/>
        <w:tblLook w:firstColumn="1" w:firstRow="1" w:lastColumn="0" w:lastRow="0" w:noHBand="0" w:noVBand="1" w:val="04A0"/>
        <w:tblInd w:w="120" w:type="dxa"/>
      </w:tblPr>
      <w:tblGrid>
        <w:gridCol w:w="1900"/>
        <w:gridCol w:w="4800"/>
        <w:gridCol w:w="266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6"/>
              </w:rPr>
              <w:t>Concept</w:t>
            </w:r>
          </w:p>
        </w:tc>
        <w:tc>
          <w:tcPr>
            <w:tcW w:type="dxa" w:w="4800"/>
            <w:shd w:fill="F2F4F7"/>
            <w:vAlign w:val="center"/>
            <w:tcMar>
              <w:top w:w="80" w:type="dxa"/>
              <w:bottom w:w="80" w:type="dxa"/>
              <w:start w:w="120" w:type="dxa"/>
              <w:end w:w="120" w:type="dxa"/>
            </w:tcMar>
          </w:tcPr>
          <w:p>
            <w:pPr>
              <w:spacing w:after="0"/>
            </w:pPr>
            <w:r>
              <w:rPr>
                <w:rFonts w:ascii="Calibri" w:hAnsi="Calibri"/>
                <w:b/>
                <w:i w:val="0"/>
                <w:color w:val="0B2545"/>
                <w:sz w:val="16"/>
              </w:rPr>
              <w:t>Canonical definition</w:t>
            </w:r>
          </w:p>
        </w:tc>
        <w:tc>
          <w:tcPr>
            <w:tcW w:type="dxa" w:w="2660"/>
            <w:shd w:fill="F2F4F7"/>
            <w:vAlign w:val="center"/>
            <w:tcMar>
              <w:top w:w="80" w:type="dxa"/>
              <w:bottom w:w="80" w:type="dxa"/>
              <w:start w:w="120" w:type="dxa"/>
              <w:end w:w="120" w:type="dxa"/>
            </w:tcMar>
          </w:tcPr>
          <w:p>
            <w:pPr>
              <w:spacing w:after="0"/>
            </w:pPr>
            <w:r>
              <w:rPr>
                <w:rFonts w:ascii="Calibri" w:hAnsi="Calibri"/>
                <w:b/>
                <w:i w:val="0"/>
                <w:color w:val="0B2545"/>
                <w:sz w:val="16"/>
              </w:rPr>
              <w:t>Not authoritative</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Account</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Broker account number plus governed account record and display name.</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Typed labels repeated in worksheets.</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Security</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Stable security ID with effective-dated symbols, issuer/provider and underlying relationships.</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Ticker text alone.</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Lot</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Account-specific acquired quantity with acquisition event, actual paid basis and optional separate tax adjustments.</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A calculated aggregate position.</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Transaction</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Immutable economic event with source identity, account, security, date/time, type and amount/quantity.</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Month/year helper columns or pivot rows.</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Dividend declaration</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Issuer/provider declaration per share with declaration, ex and pay dates and evidence.</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Plan or projected income.</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Plan</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Approved conservative per-share assumption with effective version and confidence.</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Most recent declaration or actual cash.</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Projection</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Plan × eligible quantity × governed schedule and period rules.</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Actual payment.</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Actual</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Reconciled transaction cash or position event.</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A manually colored plan cell.</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Business week</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Saturday–Friday interval represented by one canonical week key.</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Ad hoc week labels.</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Classification</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Effective-dated Foundation/Core/Risk On decision with evidence and review status.</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Unexplained permanent label.</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Snapshot</w:t>
            </w:r>
          </w:p>
        </w:tc>
        <w:tc>
          <w:tcPr>
            <w:tcW w:type="dxa" w:w="4800"/>
            <w:vAlign w:val="center"/>
            <w:tcMar>
              <w:top w:w="80" w:type="dxa"/>
              <w:bottom w:w="80" w:type="dxa"/>
              <w:start w:w="120" w:type="dxa"/>
              <w:end w:w="120" w:type="dxa"/>
            </w:tcMar>
          </w:tcPr>
          <w:p>
            <w:pPr>
              <w:spacing w:after="0" w:line="250" w:lineRule="auto"/>
            </w:pPr>
            <w:r>
              <w:rPr>
                <w:rFonts w:ascii="Calibri" w:hAnsi="Calibri"/>
                <w:b w:val="0"/>
                <w:i w:val="0"/>
                <w:color w:val="0B2545"/>
                <w:sz w:val="16"/>
              </w:rPr>
              <w:t>Immutable as-of collection of facts, assumptions and calculation version.</w:t>
            </w:r>
          </w:p>
        </w:tc>
        <w:tc>
          <w:tcPr>
            <w:tcW w:type="dxa" w:w="2660"/>
            <w:vAlign w:val="center"/>
            <w:tcMar>
              <w:top w:w="80" w:type="dxa"/>
              <w:bottom w:w="80" w:type="dxa"/>
              <w:start w:w="120" w:type="dxa"/>
              <w:end w:w="120" w:type="dxa"/>
            </w:tcMar>
          </w:tcPr>
          <w:p>
            <w:pPr>
              <w:spacing w:after="0" w:line="250" w:lineRule="auto"/>
            </w:pPr>
            <w:r>
              <w:rPr>
                <w:rFonts w:ascii="Calibri" w:hAnsi="Calibri"/>
                <w:b w:val="0"/>
                <w:i w:val="0"/>
                <w:color w:val="0B2545"/>
                <w:sz w:val="16"/>
              </w:rPr>
              <w:t>Live values retrospectively substituted into history.</w:t>
            </w:r>
          </w:p>
        </w:tc>
      </w:tr>
    </w:tbl>
    <w:p>
      <w:pPr>
        <w:spacing w:after="20"/>
      </w:pPr>
    </w:p>
    <w:p>
      <w:pPr>
        <w:pStyle w:val="Heading1"/>
      </w:pPr>
      <w:r>
        <w:t>6. Project-Wide Data Flow</w:t>
      </w:r>
    </w:p>
    <w:p>
      <w:r>
        <w:rPr>
          <w:rFonts w:ascii="Calibri" w:hAnsi="Calibri"/>
          <w:b w:val="0"/>
          <w:i w:val="0"/>
          <w:color w:val="0B2545"/>
          <w:sz w:val="22"/>
        </w:rPr>
        <w:t>Source adapters—manual forms, structured paste/import, broker files, market/declaration retrieval and future APIs—write validated facts into canonical local records. Calculation services derive plans, projections, weekly metrics, allocation state, performance and warnings. Presentation modules consume those services. AI receives only an approved snapshot and returns advisory evidence; it never becomes a second database.</w:t>
      </w:r>
    </w:p>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blHeader w:val="true"/>
          <w:cantSplit/>
        </w:trPr>
        <w:tc>
          <w:tcPr>
            <w:tcW w:type="dxa" w:w="1800"/>
            <w:shd w:fill="F2F4F7"/>
            <w:vAlign w:val="center"/>
            <w:tcMar>
              <w:top w:w="80" w:type="dxa"/>
              <w:bottom w:w="80" w:type="dxa"/>
              <w:start w:w="120" w:type="dxa"/>
              <w:end w:w="120" w:type="dxa"/>
            </w:tcMar>
          </w:tcPr>
          <w:p>
            <w:pPr>
              <w:spacing w:after="0"/>
            </w:pPr>
            <w:r>
              <w:rPr>
                <w:rFonts w:ascii="Calibri" w:hAnsi="Calibri"/>
                <w:b/>
                <w:i w:val="0"/>
                <w:color w:val="0B2545"/>
                <w:sz w:val="16"/>
              </w:rPr>
              <w:t>Layer</w:t>
            </w:r>
          </w:p>
        </w:tc>
        <w:tc>
          <w:tcPr>
            <w:tcW w:type="dxa" w:w="4200"/>
            <w:shd w:fill="F2F4F7"/>
            <w:vAlign w:val="center"/>
            <w:tcMar>
              <w:top w:w="80" w:type="dxa"/>
              <w:bottom w:w="80" w:type="dxa"/>
              <w:start w:w="120" w:type="dxa"/>
              <w:end w:w="120" w:type="dxa"/>
            </w:tcMar>
          </w:tcPr>
          <w:p>
            <w:pPr>
              <w:spacing w:after="0"/>
            </w:pPr>
            <w:r>
              <w:rPr>
                <w:rFonts w:ascii="Calibri" w:hAnsi="Calibri"/>
                <w:b/>
                <w:i w:val="0"/>
                <w:color w:val="0B2545"/>
                <w:sz w:val="16"/>
              </w:rPr>
              <w:t>Responsibility</w:t>
            </w:r>
          </w:p>
        </w:tc>
        <w:tc>
          <w:tcPr>
            <w:tcW w:type="dxa" w:w="3360"/>
            <w:shd w:fill="F2F4F7"/>
            <w:vAlign w:val="center"/>
            <w:tcMar>
              <w:top w:w="80" w:type="dxa"/>
              <w:bottom w:w="80" w:type="dxa"/>
              <w:start w:w="120" w:type="dxa"/>
              <w:end w:w="120" w:type="dxa"/>
            </w:tcMar>
          </w:tcPr>
          <w:p>
            <w:pPr>
              <w:spacing w:after="0"/>
            </w:pPr>
            <w:r>
              <w:rPr>
                <w:rFonts w:ascii="Calibri" w:hAnsi="Calibri"/>
                <w:b/>
                <w:i w:val="0"/>
                <w:color w:val="0B2545"/>
                <w:sz w:val="16"/>
              </w:rPr>
              <w:t>Cross-cutting constraint</w:t>
            </w:r>
          </w:p>
        </w:tc>
      </w:tr>
      <w:tr>
        <w:trPr>
          <w:cantSplit/>
        </w:trPr>
        <w:tc>
          <w:tcPr>
            <w:tcW w:type="dxa" w:w="1800"/>
            <w:vAlign w:val="center"/>
            <w:tcMar>
              <w:top w:w="80" w:type="dxa"/>
              <w:bottom w:w="80" w:type="dxa"/>
              <w:start w:w="120" w:type="dxa"/>
              <w:end w:w="120" w:type="dxa"/>
            </w:tcMar>
          </w:tcPr>
          <w:p>
            <w:pPr>
              <w:spacing w:after="0" w:line="250" w:lineRule="auto"/>
            </w:pPr>
            <w:r>
              <w:rPr>
                <w:rFonts w:ascii="Calibri" w:hAnsi="Calibri"/>
                <w:b w:val="0"/>
                <w:i w:val="0"/>
                <w:color w:val="0B2545"/>
                <w:sz w:val="16"/>
              </w:rPr>
              <w:t>Capture adapters</w:t>
            </w:r>
          </w:p>
        </w:tc>
        <w:tc>
          <w:tcPr>
            <w:tcW w:type="dxa" w:w="4200"/>
            <w:vAlign w:val="center"/>
            <w:tcMar>
              <w:top w:w="80" w:type="dxa"/>
              <w:bottom w:w="80" w:type="dxa"/>
              <w:start w:w="120" w:type="dxa"/>
              <w:end w:w="120" w:type="dxa"/>
            </w:tcMar>
          </w:tcPr>
          <w:p>
            <w:pPr>
              <w:spacing w:after="0" w:line="250" w:lineRule="auto"/>
            </w:pPr>
            <w:r>
              <w:rPr>
                <w:rFonts w:ascii="Calibri" w:hAnsi="Calibri"/>
                <w:b w:val="0"/>
                <w:i w:val="0"/>
                <w:color w:val="0B2545"/>
                <w:sz w:val="16"/>
              </w:rPr>
              <w:t>Manual entry, paste/import, source retrieval and later APIs.</w:t>
            </w:r>
          </w:p>
        </w:tc>
        <w:tc>
          <w:tcPr>
            <w:tcW w:type="dxa" w:w="3360"/>
            <w:vAlign w:val="center"/>
            <w:tcMar>
              <w:top w:w="80" w:type="dxa"/>
              <w:bottom w:w="80" w:type="dxa"/>
              <w:start w:w="120" w:type="dxa"/>
              <w:end w:w="120" w:type="dxa"/>
            </w:tcMar>
          </w:tcPr>
          <w:p>
            <w:pPr>
              <w:spacing w:after="0" w:line="250" w:lineRule="auto"/>
            </w:pPr>
            <w:r>
              <w:rPr>
                <w:rFonts w:ascii="Calibri" w:hAnsi="Calibri"/>
                <w:b w:val="0"/>
                <w:i w:val="0"/>
                <w:color w:val="0B2545"/>
                <w:sz w:val="16"/>
              </w:rPr>
              <w:t>Idempotent, source-aware and replaceable.</w:t>
            </w:r>
          </w:p>
        </w:tc>
      </w:tr>
      <w:tr>
        <w:trPr>
          <w:cantSplit/>
        </w:trPr>
        <w:tc>
          <w:tcPr>
            <w:tcW w:type="dxa" w:w="1800"/>
            <w:vAlign w:val="center"/>
            <w:tcMar>
              <w:top w:w="80" w:type="dxa"/>
              <w:bottom w:w="80" w:type="dxa"/>
              <w:start w:w="120" w:type="dxa"/>
              <w:end w:w="120" w:type="dxa"/>
            </w:tcMar>
          </w:tcPr>
          <w:p>
            <w:pPr>
              <w:spacing w:after="0" w:line="250" w:lineRule="auto"/>
            </w:pPr>
            <w:r>
              <w:rPr>
                <w:rFonts w:ascii="Calibri" w:hAnsi="Calibri"/>
                <w:b w:val="0"/>
                <w:i w:val="0"/>
                <w:color w:val="0B2545"/>
                <w:sz w:val="16"/>
              </w:rPr>
              <w:t>Canonical local store</w:t>
            </w:r>
          </w:p>
        </w:tc>
        <w:tc>
          <w:tcPr>
            <w:tcW w:type="dxa" w:w="4200"/>
            <w:vAlign w:val="center"/>
            <w:tcMar>
              <w:top w:w="80" w:type="dxa"/>
              <w:bottom w:w="80" w:type="dxa"/>
              <w:start w:w="120" w:type="dxa"/>
              <w:end w:w="120" w:type="dxa"/>
            </w:tcMar>
          </w:tcPr>
          <w:p>
            <w:pPr>
              <w:spacing w:after="0" w:line="250" w:lineRule="auto"/>
            </w:pPr>
            <w:r>
              <w:rPr>
                <w:rFonts w:ascii="Calibri" w:hAnsi="Calibri"/>
                <w:b w:val="0"/>
                <w:i w:val="0"/>
                <w:color w:val="0B2545"/>
                <w:sz w:val="16"/>
              </w:rPr>
              <w:t>Accounts, securities, lots, transactions, declarations, plans, targets, snapshots and audit events.</w:t>
            </w:r>
          </w:p>
        </w:tc>
        <w:tc>
          <w:tcPr>
            <w:tcW w:type="dxa" w:w="3360"/>
            <w:vAlign w:val="center"/>
            <w:tcMar>
              <w:top w:w="80" w:type="dxa"/>
              <w:bottom w:w="80" w:type="dxa"/>
              <w:start w:w="120" w:type="dxa"/>
              <w:end w:w="120" w:type="dxa"/>
            </w:tcMar>
          </w:tcPr>
          <w:p>
            <w:pPr>
              <w:spacing w:after="0" w:line="250" w:lineRule="auto"/>
            </w:pPr>
            <w:r>
              <w:rPr>
                <w:rFonts w:ascii="Calibri" w:hAnsi="Calibri"/>
                <w:b w:val="0"/>
                <w:i w:val="0"/>
                <w:color w:val="0B2545"/>
                <w:sz w:val="16"/>
              </w:rPr>
              <w:t>Only operational source of truth.</w:t>
            </w:r>
          </w:p>
        </w:tc>
      </w:tr>
      <w:tr>
        <w:trPr>
          <w:cantSplit/>
        </w:trPr>
        <w:tc>
          <w:tcPr>
            <w:tcW w:type="dxa" w:w="1800"/>
            <w:vAlign w:val="center"/>
            <w:tcMar>
              <w:top w:w="80" w:type="dxa"/>
              <w:bottom w:w="80" w:type="dxa"/>
              <w:start w:w="120" w:type="dxa"/>
              <w:end w:w="120" w:type="dxa"/>
            </w:tcMar>
          </w:tcPr>
          <w:p>
            <w:pPr>
              <w:spacing w:after="0" w:line="250" w:lineRule="auto"/>
            </w:pPr>
            <w:r>
              <w:rPr>
                <w:rFonts w:ascii="Calibri" w:hAnsi="Calibri"/>
                <w:b w:val="0"/>
                <w:i w:val="0"/>
                <w:color w:val="0B2545"/>
                <w:sz w:val="16"/>
              </w:rPr>
              <w:t>Calculation services</w:t>
            </w:r>
          </w:p>
        </w:tc>
        <w:tc>
          <w:tcPr>
            <w:tcW w:type="dxa" w:w="4200"/>
            <w:vAlign w:val="center"/>
            <w:tcMar>
              <w:top w:w="80" w:type="dxa"/>
              <w:bottom w:w="80" w:type="dxa"/>
              <w:start w:w="120" w:type="dxa"/>
              <w:end w:w="120" w:type="dxa"/>
            </w:tcMar>
          </w:tcPr>
          <w:p>
            <w:pPr>
              <w:spacing w:after="0" w:line="250" w:lineRule="auto"/>
            </w:pPr>
            <w:r>
              <w:rPr>
                <w:rFonts w:ascii="Calibri" w:hAnsi="Calibri"/>
                <w:b w:val="0"/>
                <w:i w:val="0"/>
                <w:color w:val="0B2545"/>
                <w:sz w:val="16"/>
              </w:rPr>
              <w:t>Income, weeks, performance, allocation, tax projection, warnings and scenarios.</w:t>
            </w:r>
          </w:p>
        </w:tc>
        <w:tc>
          <w:tcPr>
            <w:tcW w:type="dxa" w:w="3360"/>
            <w:vAlign w:val="center"/>
            <w:tcMar>
              <w:top w:w="80" w:type="dxa"/>
              <w:bottom w:w="80" w:type="dxa"/>
              <w:start w:w="120" w:type="dxa"/>
              <w:end w:w="120" w:type="dxa"/>
            </w:tcMar>
          </w:tcPr>
          <w:p>
            <w:pPr>
              <w:spacing w:after="0" w:line="250" w:lineRule="auto"/>
            </w:pPr>
            <w:r>
              <w:rPr>
                <w:rFonts w:ascii="Calibri" w:hAnsi="Calibri"/>
                <w:b w:val="0"/>
                <w:i w:val="0"/>
                <w:color w:val="0B2545"/>
                <w:sz w:val="16"/>
              </w:rPr>
              <w:t>Deterministic, versioned and testable.</w:t>
            </w:r>
          </w:p>
        </w:tc>
      </w:tr>
      <w:tr>
        <w:trPr>
          <w:cantSplit/>
        </w:trPr>
        <w:tc>
          <w:tcPr>
            <w:tcW w:type="dxa" w:w="1800"/>
            <w:vAlign w:val="center"/>
            <w:tcMar>
              <w:top w:w="80" w:type="dxa"/>
              <w:bottom w:w="80" w:type="dxa"/>
              <w:start w:w="120" w:type="dxa"/>
              <w:end w:w="120" w:type="dxa"/>
            </w:tcMar>
          </w:tcPr>
          <w:p>
            <w:pPr>
              <w:spacing w:after="0" w:line="250" w:lineRule="auto"/>
            </w:pPr>
            <w:r>
              <w:rPr>
                <w:rFonts w:ascii="Calibri" w:hAnsi="Calibri"/>
                <w:b w:val="0"/>
                <w:i w:val="0"/>
                <w:color w:val="0B2545"/>
                <w:sz w:val="16"/>
              </w:rPr>
              <w:t>Application modules</w:t>
            </w:r>
          </w:p>
        </w:tc>
        <w:tc>
          <w:tcPr>
            <w:tcW w:type="dxa" w:w="4200"/>
            <w:vAlign w:val="center"/>
            <w:tcMar>
              <w:top w:w="80" w:type="dxa"/>
              <w:bottom w:w="80" w:type="dxa"/>
              <w:start w:w="120" w:type="dxa"/>
              <w:end w:w="120" w:type="dxa"/>
            </w:tcMar>
          </w:tcPr>
          <w:p>
            <w:pPr>
              <w:spacing w:after="0" w:line="250" w:lineRule="auto"/>
            </w:pPr>
            <w:r>
              <w:rPr>
                <w:rFonts w:ascii="Calibri" w:hAnsi="Calibri"/>
                <w:b w:val="0"/>
                <w:i w:val="0"/>
                <w:color w:val="0B2545"/>
                <w:sz w:val="16"/>
              </w:rPr>
              <w:t>Holdings, Calculator, Position Details, Income Plan, ROI, Trends, Dashboard, Allocations and Shopping Cart experiences.</w:t>
            </w:r>
          </w:p>
        </w:tc>
        <w:tc>
          <w:tcPr>
            <w:tcW w:type="dxa" w:w="3360"/>
            <w:vAlign w:val="center"/>
            <w:tcMar>
              <w:top w:w="80" w:type="dxa"/>
              <w:bottom w:w="80" w:type="dxa"/>
              <w:start w:w="120" w:type="dxa"/>
              <w:end w:w="120" w:type="dxa"/>
            </w:tcMar>
          </w:tcPr>
          <w:p>
            <w:pPr>
              <w:spacing w:after="0" w:line="250" w:lineRule="auto"/>
            </w:pPr>
            <w:r>
              <w:rPr>
                <w:rFonts w:ascii="Calibri" w:hAnsi="Calibri"/>
                <w:b w:val="0"/>
                <w:i w:val="0"/>
                <w:color w:val="0B2545"/>
                <w:sz w:val="16"/>
              </w:rPr>
              <w:t>Read shared facts; do not create private copies.</w:t>
            </w:r>
          </w:p>
        </w:tc>
      </w:tr>
      <w:tr>
        <w:trPr>
          <w:cantSplit/>
        </w:trPr>
        <w:tc>
          <w:tcPr>
            <w:tcW w:type="dxa" w:w="1800"/>
            <w:vAlign w:val="center"/>
            <w:tcMar>
              <w:top w:w="80" w:type="dxa"/>
              <w:bottom w:w="80" w:type="dxa"/>
              <w:start w:w="120" w:type="dxa"/>
              <w:end w:w="120" w:type="dxa"/>
            </w:tcMar>
          </w:tcPr>
          <w:p>
            <w:pPr>
              <w:spacing w:after="0" w:line="250" w:lineRule="auto"/>
            </w:pPr>
            <w:r>
              <w:rPr>
                <w:rFonts w:ascii="Calibri" w:hAnsi="Calibri"/>
                <w:b w:val="0"/>
                <w:i w:val="0"/>
                <w:color w:val="0B2545"/>
                <w:sz w:val="16"/>
              </w:rPr>
              <w:t>AI advisory service</w:t>
            </w:r>
          </w:p>
        </w:tc>
        <w:tc>
          <w:tcPr>
            <w:tcW w:type="dxa" w:w="4200"/>
            <w:vAlign w:val="center"/>
            <w:tcMar>
              <w:top w:w="80" w:type="dxa"/>
              <w:bottom w:w="80" w:type="dxa"/>
              <w:start w:w="120" w:type="dxa"/>
              <w:end w:w="120" w:type="dxa"/>
            </w:tcMar>
          </w:tcPr>
          <w:p>
            <w:pPr>
              <w:spacing w:after="0" w:line="250" w:lineRule="auto"/>
            </w:pPr>
            <w:r>
              <w:rPr>
                <w:rFonts w:ascii="Calibri" w:hAnsi="Calibri"/>
                <w:b w:val="0"/>
                <w:i w:val="0"/>
                <w:color w:val="0B2545"/>
                <w:sz w:val="16"/>
              </w:rPr>
              <w:t>Explanations, comparisons, anomaly detection and alternative what-if analysis.</w:t>
            </w:r>
          </w:p>
        </w:tc>
        <w:tc>
          <w:tcPr>
            <w:tcW w:type="dxa" w:w="3360"/>
            <w:vAlign w:val="center"/>
            <w:tcMar>
              <w:top w:w="80" w:type="dxa"/>
              <w:bottom w:w="80" w:type="dxa"/>
              <w:start w:w="120" w:type="dxa"/>
              <w:end w:w="120" w:type="dxa"/>
            </w:tcMar>
          </w:tcPr>
          <w:p>
            <w:pPr>
              <w:spacing w:after="0" w:line="250" w:lineRule="auto"/>
            </w:pPr>
            <w:r>
              <w:rPr>
                <w:rFonts w:ascii="Calibri" w:hAnsi="Calibri"/>
                <w:b w:val="0"/>
                <w:i w:val="0"/>
                <w:color w:val="0B2545"/>
                <w:sz w:val="16"/>
              </w:rPr>
              <w:t>Bounded snapshot, logged provenance, human approval.</w:t>
            </w:r>
          </w:p>
        </w:tc>
      </w:tr>
      <w:tr>
        <w:trPr>
          <w:cantSplit/>
        </w:trPr>
        <w:tc>
          <w:tcPr>
            <w:tcW w:type="dxa" w:w="1800"/>
            <w:vAlign w:val="center"/>
            <w:tcMar>
              <w:top w:w="80" w:type="dxa"/>
              <w:bottom w:w="80" w:type="dxa"/>
              <w:start w:w="120" w:type="dxa"/>
              <w:end w:w="120" w:type="dxa"/>
            </w:tcMar>
          </w:tcPr>
          <w:p>
            <w:pPr>
              <w:spacing w:after="0" w:line="250" w:lineRule="auto"/>
            </w:pPr>
            <w:r>
              <w:rPr>
                <w:rFonts w:ascii="Calibri" w:hAnsi="Calibri"/>
                <w:b w:val="0"/>
                <w:i w:val="0"/>
                <w:color w:val="0B2545"/>
                <w:sz w:val="16"/>
              </w:rPr>
              <w:t>Backup/export</w:t>
            </w:r>
          </w:p>
        </w:tc>
        <w:tc>
          <w:tcPr>
            <w:tcW w:type="dxa" w:w="4200"/>
            <w:vAlign w:val="center"/>
            <w:tcMar>
              <w:top w:w="80" w:type="dxa"/>
              <w:bottom w:w="80" w:type="dxa"/>
              <w:start w:w="120" w:type="dxa"/>
              <w:end w:w="120" w:type="dxa"/>
            </w:tcMar>
          </w:tcPr>
          <w:p>
            <w:pPr>
              <w:spacing w:after="0" w:line="250" w:lineRule="auto"/>
            </w:pPr>
            <w:r>
              <w:rPr>
                <w:rFonts w:ascii="Calibri" w:hAnsi="Calibri"/>
                <w:b w:val="0"/>
                <w:i w:val="0"/>
                <w:color w:val="0B2545"/>
                <w:sz w:val="16"/>
              </w:rPr>
              <w:t>Point-in-time recovery and transportable owner-controlled copies.</w:t>
            </w:r>
          </w:p>
        </w:tc>
        <w:tc>
          <w:tcPr>
            <w:tcW w:type="dxa" w:w="3360"/>
            <w:vAlign w:val="center"/>
            <w:tcMar>
              <w:top w:w="80" w:type="dxa"/>
              <w:bottom w:w="80" w:type="dxa"/>
              <w:start w:w="120" w:type="dxa"/>
              <w:end w:w="120" w:type="dxa"/>
            </w:tcMar>
          </w:tcPr>
          <w:p>
            <w:pPr>
              <w:spacing w:after="0" w:line="250" w:lineRule="auto"/>
            </w:pPr>
            <w:r>
              <w:rPr>
                <w:rFonts w:ascii="Calibri" w:hAnsi="Calibri"/>
                <w:b w:val="0"/>
                <w:i w:val="0"/>
                <w:color w:val="0B2545"/>
                <w:sz w:val="16"/>
              </w:rPr>
              <w:t>Not the live database.</w:t>
            </w:r>
          </w:p>
        </w:tc>
      </w:tr>
    </w:tbl>
    <w:p>
      <w:pPr>
        <w:spacing w:after="20"/>
      </w:pPr>
    </w:p>
    <w:p>
      <w:pPr>
        <w:pStyle w:val="Heading1"/>
      </w:pPr>
      <w:r>
        <w:t>7. Decision Precedence</w:t>
      </w:r>
    </w:p>
    <w:tbl>
      <w:tblPr>
        <w:tblStyle w:val="TableGrid"/>
        <w:tblW w:type="dxa" w:w="9360"/>
        <w:jc w:val="left"/>
        <w:tblLayout w:type="fixed"/>
        <w:tblLook w:firstColumn="1" w:firstRow="1" w:lastColumn="0" w:lastRow="0" w:noHBand="0" w:noVBand="1" w:val="04A0"/>
        <w:tblInd w:w="120" w:type="dxa"/>
      </w:tblPr>
      <w:tblGrid>
        <w:gridCol w:w="700"/>
        <w:gridCol w:w="3200"/>
        <w:gridCol w:w="5460"/>
      </w:tblGrid>
      <w:tr>
        <w:trPr>
          <w:tblHeader w:val="true"/>
          <w:cantSplit/>
        </w:trPr>
        <w:tc>
          <w:tcPr>
            <w:tcW w:type="dxa" w:w="700"/>
            <w:shd w:fill="F2F4F7"/>
            <w:vAlign w:val="center"/>
            <w:tcMar>
              <w:top w:w="80" w:type="dxa"/>
              <w:bottom w:w="80" w:type="dxa"/>
              <w:start w:w="120" w:type="dxa"/>
              <w:end w:w="120" w:type="dxa"/>
            </w:tcMar>
          </w:tcPr>
          <w:p>
            <w:pPr>
              <w:spacing w:after="0"/>
            </w:pPr>
            <w:r>
              <w:rPr>
                <w:rFonts w:ascii="Calibri" w:hAnsi="Calibri"/>
                <w:b/>
                <w:i w:val="0"/>
                <w:color w:val="0B2545"/>
                <w:sz w:val="16"/>
              </w:rPr>
              <w:t>Order</w:t>
            </w:r>
          </w:p>
        </w:tc>
        <w:tc>
          <w:tcPr>
            <w:tcW w:type="dxa" w:w="3200"/>
            <w:shd w:fill="F2F4F7"/>
            <w:vAlign w:val="center"/>
            <w:tcMar>
              <w:top w:w="80" w:type="dxa"/>
              <w:bottom w:w="80" w:type="dxa"/>
              <w:start w:w="120" w:type="dxa"/>
              <w:end w:w="120" w:type="dxa"/>
            </w:tcMar>
          </w:tcPr>
          <w:p>
            <w:pPr>
              <w:spacing w:after="0"/>
            </w:pPr>
            <w:r>
              <w:rPr>
                <w:rFonts w:ascii="Calibri" w:hAnsi="Calibri"/>
                <w:b/>
                <w:i w:val="0"/>
                <w:color w:val="0B2545"/>
                <w:sz w:val="16"/>
              </w:rPr>
              <w:t>Authority</w:t>
            </w:r>
          </w:p>
        </w:tc>
        <w:tc>
          <w:tcPr>
            <w:tcW w:type="dxa" w:w="5460"/>
            <w:shd w:fill="F2F4F7"/>
            <w:vAlign w:val="center"/>
            <w:tcMar>
              <w:top w:w="80" w:type="dxa"/>
              <w:bottom w:w="80" w:type="dxa"/>
              <w:start w:w="120" w:type="dxa"/>
              <w:end w:w="120" w:type="dxa"/>
            </w:tcMar>
          </w:tcPr>
          <w:p>
            <w:pPr>
              <w:spacing w:after="0"/>
            </w:pPr>
            <w:r>
              <w:rPr>
                <w:rFonts w:ascii="Calibri" w:hAnsi="Calibri"/>
                <w:b/>
                <w:i w:val="0"/>
                <w:color w:val="0B2545"/>
                <w:sz w:val="16"/>
              </w:rPr>
              <w:t>Application</w:t>
            </w:r>
          </w:p>
        </w:tc>
      </w:tr>
      <w:tr>
        <w:trPr>
          <w:cantSplit/>
        </w:trPr>
        <w:tc>
          <w:tcPr>
            <w:tcW w:type="dxa" w:w="700"/>
            <w:vAlign w:val="center"/>
            <w:tcMar>
              <w:top w:w="80" w:type="dxa"/>
              <w:bottom w:w="80" w:type="dxa"/>
              <w:start w:w="120" w:type="dxa"/>
              <w:end w:w="120" w:type="dxa"/>
            </w:tcMar>
          </w:tcPr>
          <w:p>
            <w:pPr>
              <w:spacing w:after="0" w:line="250" w:lineRule="auto"/>
            </w:pPr>
            <w:r>
              <w:rPr>
                <w:rFonts w:ascii="Calibri" w:hAnsi="Calibri"/>
                <w:b w:val="0"/>
                <w:i w:val="0"/>
                <w:color w:val="0B2545"/>
                <w:sz w:val="16"/>
              </w:rPr>
              <w:t>1</w:t>
            </w:r>
          </w:p>
        </w:tc>
        <w:tc>
          <w:tcPr>
            <w:tcW w:type="dxa" w:w="3200"/>
            <w:vAlign w:val="center"/>
            <w:tcMar>
              <w:top w:w="80" w:type="dxa"/>
              <w:bottom w:w="80" w:type="dxa"/>
              <w:start w:w="120" w:type="dxa"/>
              <w:end w:w="120" w:type="dxa"/>
            </w:tcMar>
          </w:tcPr>
          <w:p>
            <w:pPr>
              <w:spacing w:after="0" w:line="250" w:lineRule="auto"/>
            </w:pPr>
            <w:r>
              <w:rPr>
                <w:rFonts w:ascii="Calibri" w:hAnsi="Calibri"/>
                <w:b w:val="0"/>
                <w:i w:val="0"/>
                <w:color w:val="0B2545"/>
                <w:sz w:val="16"/>
              </w:rPr>
              <w:t>Canonical transaction and account evidence</w:t>
            </w:r>
          </w:p>
        </w:tc>
        <w:tc>
          <w:tcPr>
            <w:tcW w:type="dxa" w:w="5460"/>
            <w:vAlign w:val="center"/>
            <w:tcMar>
              <w:top w:w="80" w:type="dxa"/>
              <w:bottom w:w="80" w:type="dxa"/>
              <w:start w:w="120" w:type="dxa"/>
              <w:end w:w="120" w:type="dxa"/>
            </w:tcMar>
          </w:tcPr>
          <w:p>
            <w:pPr>
              <w:spacing w:after="0" w:line="250" w:lineRule="auto"/>
            </w:pPr>
            <w:r>
              <w:rPr>
                <w:rFonts w:ascii="Calibri" w:hAnsi="Calibri"/>
                <w:b w:val="0"/>
                <w:i w:val="0"/>
                <w:color w:val="0B2545"/>
                <w:sz w:val="16"/>
              </w:rPr>
              <w:t>Broker-reported/reconciled events and approved identity records govern actuals.</w:t>
            </w:r>
          </w:p>
        </w:tc>
      </w:tr>
      <w:tr>
        <w:trPr>
          <w:cantSplit/>
        </w:trPr>
        <w:tc>
          <w:tcPr>
            <w:tcW w:type="dxa" w:w="700"/>
            <w:vAlign w:val="center"/>
            <w:tcMar>
              <w:top w:w="80" w:type="dxa"/>
              <w:bottom w:w="80" w:type="dxa"/>
              <w:start w:w="120" w:type="dxa"/>
              <w:end w:w="120" w:type="dxa"/>
            </w:tcMar>
          </w:tcPr>
          <w:p>
            <w:pPr>
              <w:spacing w:after="0" w:line="250" w:lineRule="auto"/>
            </w:pPr>
            <w:r>
              <w:rPr>
                <w:rFonts w:ascii="Calibri" w:hAnsi="Calibri"/>
                <w:b w:val="0"/>
                <w:i w:val="0"/>
                <w:color w:val="0B2545"/>
                <w:sz w:val="16"/>
              </w:rPr>
              <w:t>2</w:t>
            </w:r>
          </w:p>
        </w:tc>
        <w:tc>
          <w:tcPr>
            <w:tcW w:type="dxa" w:w="3200"/>
            <w:vAlign w:val="center"/>
            <w:tcMar>
              <w:top w:w="80" w:type="dxa"/>
              <w:bottom w:w="80" w:type="dxa"/>
              <w:start w:w="120" w:type="dxa"/>
              <w:end w:w="120" w:type="dxa"/>
            </w:tcMar>
          </w:tcPr>
          <w:p>
            <w:pPr>
              <w:spacing w:after="0" w:line="250" w:lineRule="auto"/>
            </w:pPr>
            <w:r>
              <w:rPr>
                <w:rFonts w:ascii="Calibri" w:hAnsi="Calibri"/>
                <w:b w:val="0"/>
                <w:i w:val="0"/>
                <w:color w:val="0B2545"/>
                <w:sz w:val="16"/>
              </w:rPr>
              <w:t>Approved owner decision</w:t>
            </w:r>
          </w:p>
        </w:tc>
        <w:tc>
          <w:tcPr>
            <w:tcW w:type="dxa" w:w="5460"/>
            <w:vAlign w:val="center"/>
            <w:tcMar>
              <w:top w:w="80" w:type="dxa"/>
              <w:bottom w:w="80" w:type="dxa"/>
              <w:start w:w="120" w:type="dxa"/>
              <w:end w:w="120" w:type="dxa"/>
            </w:tcMar>
          </w:tcPr>
          <w:p>
            <w:pPr>
              <w:spacing w:after="0" w:line="250" w:lineRule="auto"/>
            </w:pPr>
            <w:r>
              <w:rPr>
                <w:rFonts w:ascii="Calibri" w:hAnsi="Calibri"/>
                <w:b w:val="0"/>
                <w:i w:val="0"/>
                <w:color w:val="0B2545"/>
                <w:sz w:val="16"/>
              </w:rPr>
              <w:t>Plans, targets, classifications, lot matches and overrides govern after approval.</w:t>
            </w:r>
          </w:p>
        </w:tc>
      </w:tr>
      <w:tr>
        <w:trPr>
          <w:cantSplit/>
        </w:trPr>
        <w:tc>
          <w:tcPr>
            <w:tcW w:type="dxa" w:w="700"/>
            <w:vAlign w:val="center"/>
            <w:tcMar>
              <w:top w:w="80" w:type="dxa"/>
              <w:bottom w:w="80" w:type="dxa"/>
              <w:start w:w="120" w:type="dxa"/>
              <w:end w:w="120" w:type="dxa"/>
            </w:tcMar>
          </w:tcPr>
          <w:p>
            <w:pPr>
              <w:spacing w:after="0" w:line="250" w:lineRule="auto"/>
            </w:pPr>
            <w:r>
              <w:rPr>
                <w:rFonts w:ascii="Calibri" w:hAnsi="Calibri"/>
                <w:b w:val="0"/>
                <w:i w:val="0"/>
                <w:color w:val="0B2545"/>
                <w:sz w:val="16"/>
              </w:rPr>
              <w:t>3</w:t>
            </w:r>
          </w:p>
        </w:tc>
        <w:tc>
          <w:tcPr>
            <w:tcW w:type="dxa" w:w="3200"/>
            <w:vAlign w:val="center"/>
            <w:tcMar>
              <w:top w:w="80" w:type="dxa"/>
              <w:bottom w:w="80" w:type="dxa"/>
              <w:start w:w="120" w:type="dxa"/>
              <w:end w:w="120" w:type="dxa"/>
            </w:tcMar>
          </w:tcPr>
          <w:p>
            <w:pPr>
              <w:spacing w:after="0" w:line="250" w:lineRule="auto"/>
            </w:pPr>
            <w:r>
              <w:rPr>
                <w:rFonts w:ascii="Calibri" w:hAnsi="Calibri"/>
                <w:b w:val="0"/>
                <w:i w:val="0"/>
                <w:color w:val="0B2545"/>
                <w:sz w:val="16"/>
              </w:rPr>
              <w:t>Cross-cutting requirements</w:t>
            </w:r>
          </w:p>
        </w:tc>
        <w:tc>
          <w:tcPr>
            <w:tcW w:type="dxa" w:w="5460"/>
            <w:vAlign w:val="center"/>
            <w:tcMar>
              <w:top w:w="80" w:type="dxa"/>
              <w:bottom w:w="80" w:type="dxa"/>
              <w:start w:w="120" w:type="dxa"/>
              <w:end w:w="120" w:type="dxa"/>
            </w:tcMar>
          </w:tcPr>
          <w:p>
            <w:pPr>
              <w:spacing w:after="0" w:line="250" w:lineRule="auto"/>
            </w:pPr>
            <w:r>
              <w:rPr>
                <w:rFonts w:ascii="Calibri" w:hAnsi="Calibri"/>
                <w:b w:val="0"/>
                <w:i w:val="0"/>
                <w:color w:val="0B2545"/>
                <w:sz w:val="16"/>
              </w:rPr>
              <w:t>This document governs shared behavior and architecture boundaries.</w:t>
            </w:r>
          </w:p>
        </w:tc>
      </w:tr>
      <w:tr>
        <w:trPr>
          <w:cantSplit/>
        </w:trPr>
        <w:tc>
          <w:tcPr>
            <w:tcW w:type="dxa" w:w="700"/>
            <w:vAlign w:val="center"/>
            <w:tcMar>
              <w:top w:w="80" w:type="dxa"/>
              <w:bottom w:w="80" w:type="dxa"/>
              <w:start w:w="120" w:type="dxa"/>
              <w:end w:w="120" w:type="dxa"/>
            </w:tcMar>
          </w:tcPr>
          <w:p>
            <w:pPr>
              <w:spacing w:after="0" w:line="250" w:lineRule="auto"/>
            </w:pPr>
            <w:r>
              <w:rPr>
                <w:rFonts w:ascii="Calibri" w:hAnsi="Calibri"/>
                <w:b w:val="0"/>
                <w:i w:val="0"/>
                <w:color w:val="0B2545"/>
                <w:sz w:val="16"/>
              </w:rPr>
              <w:t>4</w:t>
            </w:r>
          </w:p>
        </w:tc>
        <w:tc>
          <w:tcPr>
            <w:tcW w:type="dxa" w:w="3200"/>
            <w:vAlign w:val="center"/>
            <w:tcMar>
              <w:top w:w="80" w:type="dxa"/>
              <w:bottom w:w="80" w:type="dxa"/>
              <w:start w:w="120" w:type="dxa"/>
              <w:end w:w="120" w:type="dxa"/>
            </w:tcMar>
          </w:tcPr>
          <w:p>
            <w:pPr>
              <w:spacing w:after="0" w:line="250" w:lineRule="auto"/>
            </w:pPr>
            <w:r>
              <w:rPr>
                <w:rFonts w:ascii="Calibri" w:hAnsi="Calibri"/>
                <w:b w:val="0"/>
                <w:i w:val="0"/>
                <w:color w:val="0B2545"/>
                <w:sz w:val="16"/>
              </w:rPr>
              <w:t>Tab-specific requirements</w:t>
            </w:r>
          </w:p>
        </w:tc>
        <w:tc>
          <w:tcPr>
            <w:tcW w:type="dxa" w:w="5460"/>
            <w:vAlign w:val="center"/>
            <w:tcMar>
              <w:top w:w="80" w:type="dxa"/>
              <w:bottom w:w="80" w:type="dxa"/>
              <w:start w:w="120" w:type="dxa"/>
              <w:end w:w="120" w:type="dxa"/>
            </w:tcMar>
          </w:tcPr>
          <w:p>
            <w:pPr>
              <w:spacing w:after="0" w:line="250" w:lineRule="auto"/>
            </w:pPr>
            <w:r>
              <w:rPr>
                <w:rFonts w:ascii="Calibri" w:hAnsi="Calibri"/>
                <w:b w:val="0"/>
                <w:i w:val="0"/>
                <w:color w:val="0B2545"/>
                <w:sz w:val="16"/>
              </w:rPr>
              <w:t>Add detailed workflows without contradicting higher authorities.</w:t>
            </w:r>
          </w:p>
        </w:tc>
      </w:tr>
      <w:tr>
        <w:trPr>
          <w:cantSplit/>
        </w:trPr>
        <w:tc>
          <w:tcPr>
            <w:tcW w:type="dxa" w:w="700"/>
            <w:vAlign w:val="center"/>
            <w:tcMar>
              <w:top w:w="80" w:type="dxa"/>
              <w:bottom w:w="80" w:type="dxa"/>
              <w:start w:w="120" w:type="dxa"/>
              <w:end w:w="120" w:type="dxa"/>
            </w:tcMar>
          </w:tcPr>
          <w:p>
            <w:pPr>
              <w:spacing w:after="0" w:line="250" w:lineRule="auto"/>
            </w:pPr>
            <w:r>
              <w:rPr>
                <w:rFonts w:ascii="Calibri" w:hAnsi="Calibri"/>
                <w:b w:val="0"/>
                <w:i w:val="0"/>
                <w:color w:val="0B2545"/>
                <w:sz w:val="16"/>
              </w:rPr>
              <w:t>5</w:t>
            </w:r>
          </w:p>
        </w:tc>
        <w:tc>
          <w:tcPr>
            <w:tcW w:type="dxa" w:w="3200"/>
            <w:vAlign w:val="center"/>
            <w:tcMar>
              <w:top w:w="80" w:type="dxa"/>
              <w:bottom w:w="80" w:type="dxa"/>
              <w:start w:w="120" w:type="dxa"/>
              <w:end w:w="120" w:type="dxa"/>
            </w:tcMar>
          </w:tcPr>
          <w:p>
            <w:pPr>
              <w:spacing w:after="0" w:line="250" w:lineRule="auto"/>
            </w:pPr>
            <w:r>
              <w:rPr>
                <w:rFonts w:ascii="Calibri" w:hAnsi="Calibri"/>
                <w:b w:val="0"/>
                <w:i w:val="0"/>
                <w:color w:val="0B2545"/>
                <w:sz w:val="16"/>
              </w:rPr>
              <w:t>Legacy spreadsheet behavior</w:t>
            </w:r>
          </w:p>
        </w:tc>
        <w:tc>
          <w:tcPr>
            <w:tcW w:type="dxa" w:w="5460"/>
            <w:vAlign w:val="center"/>
            <w:tcMar>
              <w:top w:w="80" w:type="dxa"/>
              <w:bottom w:w="80" w:type="dxa"/>
              <w:start w:w="120" w:type="dxa"/>
              <w:end w:w="120" w:type="dxa"/>
            </w:tcMar>
          </w:tcPr>
          <w:p>
            <w:pPr>
              <w:spacing w:after="0" w:line="250" w:lineRule="auto"/>
            </w:pPr>
            <w:r>
              <w:rPr>
                <w:rFonts w:ascii="Calibri" w:hAnsi="Calibri"/>
                <w:b w:val="0"/>
                <w:i w:val="0"/>
                <w:color w:val="0B2545"/>
                <w:sz w:val="16"/>
              </w:rPr>
              <w:t>Evidence of prior intent only when not contradicted by approved requirements.</w:t>
            </w:r>
          </w:p>
        </w:tc>
      </w:tr>
      <w:tr>
        <w:trPr>
          <w:cantSplit/>
        </w:trPr>
        <w:tc>
          <w:tcPr>
            <w:tcW w:type="dxa" w:w="700"/>
            <w:vAlign w:val="center"/>
            <w:tcMar>
              <w:top w:w="80" w:type="dxa"/>
              <w:bottom w:w="80" w:type="dxa"/>
              <w:start w:w="120" w:type="dxa"/>
              <w:end w:w="120" w:type="dxa"/>
            </w:tcMar>
          </w:tcPr>
          <w:p>
            <w:pPr>
              <w:spacing w:after="0" w:line="250" w:lineRule="auto"/>
            </w:pPr>
            <w:r>
              <w:rPr>
                <w:rFonts w:ascii="Calibri" w:hAnsi="Calibri"/>
                <w:b w:val="0"/>
                <w:i w:val="0"/>
                <w:color w:val="0B2545"/>
                <w:sz w:val="16"/>
              </w:rPr>
              <w:t>6</w:t>
            </w:r>
          </w:p>
        </w:tc>
        <w:tc>
          <w:tcPr>
            <w:tcW w:type="dxa" w:w="3200"/>
            <w:vAlign w:val="center"/>
            <w:tcMar>
              <w:top w:w="80" w:type="dxa"/>
              <w:bottom w:w="80" w:type="dxa"/>
              <w:start w:w="120" w:type="dxa"/>
              <w:end w:w="120" w:type="dxa"/>
            </w:tcMar>
          </w:tcPr>
          <w:p>
            <w:pPr>
              <w:spacing w:after="0" w:line="250" w:lineRule="auto"/>
            </w:pPr>
            <w:r>
              <w:rPr>
                <w:rFonts w:ascii="Calibri" w:hAnsi="Calibri"/>
                <w:b w:val="0"/>
                <w:i w:val="0"/>
                <w:color w:val="0B2545"/>
                <w:sz w:val="16"/>
              </w:rPr>
              <w:t>AI recommendation</w:t>
            </w:r>
          </w:p>
        </w:tc>
        <w:tc>
          <w:tcPr>
            <w:tcW w:type="dxa" w:w="5460"/>
            <w:vAlign w:val="center"/>
            <w:tcMar>
              <w:top w:w="80" w:type="dxa"/>
              <w:bottom w:w="80" w:type="dxa"/>
              <w:start w:w="120" w:type="dxa"/>
              <w:end w:w="120" w:type="dxa"/>
            </w:tcMar>
          </w:tcPr>
          <w:p>
            <w:pPr>
              <w:spacing w:after="0" w:line="250" w:lineRule="auto"/>
            </w:pPr>
            <w:r>
              <w:rPr>
                <w:rFonts w:ascii="Calibri" w:hAnsi="Calibri"/>
                <w:b w:val="0"/>
                <w:i w:val="0"/>
                <w:color w:val="0B2545"/>
                <w:sz w:val="16"/>
              </w:rPr>
              <w:t>Advisory evidence only; never authoritative by itself.</w:t>
            </w:r>
          </w:p>
        </w:tc>
      </w:tr>
    </w:tbl>
    <w:p>
      <w:pPr>
        <w:spacing w:after="20"/>
      </w:pPr>
    </w:p>
    <w:p>
      <w:pPr>
        <w:pStyle w:val="Heading1"/>
      </w:pPr>
      <w:r>
        <w:t>8. MVP Boundary and Evolution</w:t>
      </w:r>
    </w:p>
    <w:tbl>
      <w:tblPr>
        <w:tblStyle w:val="TableGrid"/>
        <w:tblW w:type="dxa" w:w="9360"/>
        <w:jc w:val="left"/>
        <w:tblLayout w:type="fixed"/>
        <w:tblLook w:firstColumn="1" w:firstRow="1" w:lastColumn="0" w:lastRow="0" w:noHBand="0" w:noVBand="1" w:val="04A0"/>
        <w:tblInd w:w="120" w:type="dxa"/>
      </w:tblPr>
      <w:tblGrid>
        <w:gridCol w:w="1900"/>
        <w:gridCol w:w="4150"/>
        <w:gridCol w:w="3310"/>
      </w:tblGrid>
      <w:tr>
        <w:trPr>
          <w:tblHeader w:val="true"/>
          <w:cantSplit/>
        </w:trPr>
        <w:tc>
          <w:tcPr>
            <w:tcW w:type="dxa" w:w="1900"/>
            <w:shd w:fill="F2F4F7"/>
            <w:vAlign w:val="center"/>
            <w:tcMar>
              <w:top w:w="80" w:type="dxa"/>
              <w:bottom w:w="80" w:type="dxa"/>
              <w:start w:w="120" w:type="dxa"/>
              <w:end w:w="120" w:type="dxa"/>
            </w:tcMar>
          </w:tcPr>
          <w:p>
            <w:pPr>
              <w:spacing w:after="0"/>
            </w:pPr>
            <w:r>
              <w:rPr>
                <w:rFonts w:ascii="Calibri" w:hAnsi="Calibri"/>
                <w:b/>
                <w:i w:val="0"/>
                <w:color w:val="0B2545"/>
                <w:sz w:val="16"/>
              </w:rPr>
              <w:t>Capability</w:t>
            </w:r>
          </w:p>
        </w:tc>
        <w:tc>
          <w:tcPr>
            <w:tcW w:type="dxa" w:w="4150"/>
            <w:shd w:fill="F2F4F7"/>
            <w:vAlign w:val="center"/>
            <w:tcMar>
              <w:top w:w="80" w:type="dxa"/>
              <w:bottom w:w="80" w:type="dxa"/>
              <w:start w:w="120" w:type="dxa"/>
              <w:end w:w="120" w:type="dxa"/>
            </w:tcMar>
          </w:tcPr>
          <w:p>
            <w:pPr>
              <w:spacing w:after="0"/>
            </w:pPr>
            <w:r>
              <w:rPr>
                <w:rFonts w:ascii="Calibri" w:hAnsi="Calibri"/>
                <w:b/>
                <w:i w:val="0"/>
                <w:color w:val="0B2545"/>
                <w:sz w:val="16"/>
              </w:rPr>
              <w:t>MVP obligation</w:t>
            </w:r>
          </w:p>
        </w:tc>
        <w:tc>
          <w:tcPr>
            <w:tcW w:type="dxa" w:w="3310"/>
            <w:shd w:fill="F2F4F7"/>
            <w:vAlign w:val="center"/>
            <w:tcMar>
              <w:top w:w="80" w:type="dxa"/>
              <w:bottom w:w="80" w:type="dxa"/>
              <w:start w:w="120" w:type="dxa"/>
              <w:end w:w="120" w:type="dxa"/>
            </w:tcMar>
          </w:tcPr>
          <w:p>
            <w:pPr>
              <w:spacing w:after="0"/>
            </w:pPr>
            <w:r>
              <w:rPr>
                <w:rFonts w:ascii="Calibri" w:hAnsi="Calibri"/>
                <w:b/>
                <w:i w:val="0"/>
                <w:color w:val="0B2545"/>
                <w:sz w:val="16"/>
              </w:rPr>
              <w:t>Evolution path</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Data capture</w:t>
            </w:r>
          </w:p>
        </w:tc>
        <w:tc>
          <w:tcPr>
            <w:tcW w:type="dxa" w:w="4150"/>
            <w:vAlign w:val="center"/>
            <w:tcMar>
              <w:top w:w="80" w:type="dxa"/>
              <w:bottom w:w="80" w:type="dxa"/>
              <w:start w:w="120" w:type="dxa"/>
              <w:end w:w="120" w:type="dxa"/>
            </w:tcMar>
          </w:tcPr>
          <w:p>
            <w:pPr>
              <w:spacing w:after="0" w:line="250" w:lineRule="auto"/>
            </w:pPr>
            <w:r>
              <w:rPr>
                <w:rFonts w:ascii="Calibri" w:hAnsi="Calibri"/>
                <w:b w:val="0"/>
                <w:i w:val="0"/>
                <w:color w:val="0B2545"/>
                <w:sz w:val="16"/>
              </w:rPr>
              <w:t>Reliable manual forms and structured import with validation and idempotency.</w:t>
            </w:r>
          </w:p>
        </w:tc>
        <w:tc>
          <w:tcPr>
            <w:tcW w:type="dxa" w:w="3310"/>
            <w:vAlign w:val="center"/>
            <w:tcMar>
              <w:top w:w="80" w:type="dxa"/>
              <w:bottom w:w="80" w:type="dxa"/>
              <w:start w:w="120" w:type="dxa"/>
              <w:end w:w="120" w:type="dxa"/>
            </w:tcMar>
          </w:tcPr>
          <w:p>
            <w:pPr>
              <w:spacing w:after="0" w:line="250" w:lineRule="auto"/>
            </w:pPr>
            <w:r>
              <w:rPr>
                <w:rFonts w:ascii="Calibri" w:hAnsi="Calibri"/>
                <w:b w:val="0"/>
                <w:i w:val="0"/>
                <w:color w:val="0B2545"/>
                <w:sz w:val="16"/>
              </w:rPr>
              <w:t>Broker/provider APIs replace adapters.</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Declarations</w:t>
            </w:r>
          </w:p>
        </w:tc>
        <w:tc>
          <w:tcPr>
            <w:tcW w:type="dxa" w:w="4150"/>
            <w:vAlign w:val="center"/>
            <w:tcMar>
              <w:top w:w="80" w:type="dxa"/>
              <w:bottom w:w="80" w:type="dxa"/>
              <w:start w:w="120" w:type="dxa"/>
              <w:end w:w="120" w:type="dxa"/>
            </w:tcMar>
          </w:tcPr>
          <w:p>
            <w:pPr>
              <w:spacing w:after="0" w:line="250" w:lineRule="auto"/>
            </w:pPr>
            <w:r>
              <w:rPr>
                <w:rFonts w:ascii="Calibri" w:hAnsi="Calibri"/>
                <w:b w:val="0"/>
                <w:i w:val="0"/>
                <w:color w:val="0B2545"/>
                <w:sz w:val="16"/>
              </w:rPr>
              <w:t>Source-specific retrieval plus manual verification and evidence.</w:t>
            </w:r>
          </w:p>
        </w:tc>
        <w:tc>
          <w:tcPr>
            <w:tcW w:type="dxa" w:w="3310"/>
            <w:vAlign w:val="center"/>
            <w:tcMar>
              <w:top w:w="80" w:type="dxa"/>
              <w:bottom w:w="80" w:type="dxa"/>
              <w:start w:w="120" w:type="dxa"/>
              <w:end w:w="120" w:type="dxa"/>
            </w:tcMar>
          </w:tcPr>
          <w:p>
            <w:pPr>
              <w:spacing w:after="0" w:line="250" w:lineRule="auto"/>
            </w:pPr>
            <w:r>
              <w:rPr>
                <w:rFonts w:ascii="Calibri" w:hAnsi="Calibri"/>
                <w:b w:val="0"/>
                <w:i w:val="0"/>
                <w:color w:val="0B2545"/>
                <w:sz w:val="16"/>
              </w:rPr>
              <w:t>More resilient automated retrieval and variance detection.</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Planning</w:t>
            </w:r>
          </w:p>
        </w:tc>
        <w:tc>
          <w:tcPr>
            <w:tcW w:type="dxa" w:w="4150"/>
            <w:vAlign w:val="center"/>
            <w:tcMar>
              <w:top w:w="80" w:type="dxa"/>
              <w:bottom w:w="80" w:type="dxa"/>
              <w:start w:w="120" w:type="dxa"/>
              <w:end w:w="120" w:type="dxa"/>
            </w:tcMar>
          </w:tcPr>
          <w:p>
            <w:pPr>
              <w:spacing w:after="0" w:line="250" w:lineRule="auto"/>
            </w:pPr>
            <w:r>
              <w:rPr>
                <w:rFonts w:ascii="Calibri" w:hAnsi="Calibri"/>
                <w:b w:val="0"/>
                <w:i w:val="0"/>
                <w:color w:val="0B2545"/>
                <w:sz w:val="16"/>
              </w:rPr>
              <w:t>Approved Plan, canonical weeks, projections, warnings and manual correction.</w:t>
            </w:r>
          </w:p>
        </w:tc>
        <w:tc>
          <w:tcPr>
            <w:tcW w:type="dxa" w:w="3310"/>
            <w:vAlign w:val="center"/>
            <w:tcMar>
              <w:top w:w="80" w:type="dxa"/>
              <w:bottom w:w="80" w:type="dxa"/>
              <w:start w:w="120" w:type="dxa"/>
              <w:end w:w="120" w:type="dxa"/>
            </w:tcMar>
          </w:tcPr>
          <w:p>
            <w:pPr>
              <w:spacing w:after="0" w:line="250" w:lineRule="auto"/>
            </w:pPr>
            <w:r>
              <w:rPr>
                <w:rFonts w:ascii="Calibri" w:hAnsi="Calibri"/>
                <w:b w:val="0"/>
                <w:i w:val="0"/>
                <w:color w:val="0B2545"/>
                <w:sz w:val="16"/>
              </w:rPr>
              <w:t>Forecasting and adaptive recommendations.</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Transactions</w:t>
            </w:r>
          </w:p>
        </w:tc>
        <w:tc>
          <w:tcPr>
            <w:tcW w:type="dxa" w:w="4150"/>
            <w:vAlign w:val="center"/>
            <w:tcMar>
              <w:top w:w="80" w:type="dxa"/>
              <w:bottom w:w="80" w:type="dxa"/>
              <w:start w:w="120" w:type="dxa"/>
              <w:end w:w="120" w:type="dxa"/>
            </w:tcMar>
          </w:tcPr>
          <w:p>
            <w:pPr>
              <w:spacing w:after="0" w:line="250" w:lineRule="auto"/>
            </w:pPr>
            <w:r>
              <w:rPr>
                <w:rFonts w:ascii="Calibri" w:hAnsi="Calibri"/>
                <w:b w:val="0"/>
                <w:i w:val="0"/>
                <w:color w:val="0B2545"/>
                <w:sz w:val="16"/>
              </w:rPr>
              <w:t>Permanent activity ledger and owner reconciliation.</w:t>
            </w:r>
          </w:p>
        </w:tc>
        <w:tc>
          <w:tcPr>
            <w:tcW w:type="dxa" w:w="3310"/>
            <w:vAlign w:val="center"/>
            <w:tcMar>
              <w:top w:w="80" w:type="dxa"/>
              <w:bottom w:w="80" w:type="dxa"/>
              <w:start w:w="120" w:type="dxa"/>
              <w:end w:w="120" w:type="dxa"/>
            </w:tcMar>
          </w:tcPr>
          <w:p>
            <w:pPr>
              <w:spacing w:after="0" w:line="250" w:lineRule="auto"/>
            </w:pPr>
            <w:r>
              <w:rPr>
                <w:rFonts w:ascii="Calibri" w:hAnsi="Calibri"/>
                <w:b w:val="0"/>
                <w:i w:val="0"/>
                <w:color w:val="0B2545"/>
                <w:sz w:val="16"/>
              </w:rPr>
              <w:t>Automated matching with confidence and exceptions.</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Decision support</w:t>
            </w:r>
          </w:p>
        </w:tc>
        <w:tc>
          <w:tcPr>
            <w:tcW w:type="dxa" w:w="4150"/>
            <w:vAlign w:val="center"/>
            <w:tcMar>
              <w:top w:w="80" w:type="dxa"/>
              <w:bottom w:w="80" w:type="dxa"/>
              <w:start w:w="120" w:type="dxa"/>
              <w:end w:w="120" w:type="dxa"/>
            </w:tcMar>
          </w:tcPr>
          <w:p>
            <w:pPr>
              <w:spacing w:after="0" w:line="250" w:lineRule="auto"/>
            </w:pPr>
            <w:r>
              <w:rPr>
                <w:rFonts w:ascii="Calibri" w:hAnsi="Calibri"/>
                <w:b w:val="0"/>
                <w:i w:val="0"/>
                <w:color w:val="0B2545"/>
                <w:sz w:val="16"/>
              </w:rPr>
              <w:t>Deterministic metrics, allocation feedback and Shopping Cart scenarios.</w:t>
            </w:r>
          </w:p>
        </w:tc>
        <w:tc>
          <w:tcPr>
            <w:tcW w:type="dxa" w:w="3310"/>
            <w:vAlign w:val="center"/>
            <w:tcMar>
              <w:top w:w="80" w:type="dxa"/>
              <w:bottom w:w="80" w:type="dxa"/>
              <w:start w:w="120" w:type="dxa"/>
              <w:end w:w="120" w:type="dxa"/>
            </w:tcMar>
          </w:tcPr>
          <w:p>
            <w:pPr>
              <w:spacing w:after="0" w:line="250" w:lineRule="auto"/>
            </w:pPr>
            <w:r>
              <w:rPr>
                <w:rFonts w:ascii="Calibri" w:hAnsi="Calibri"/>
                <w:b w:val="0"/>
                <w:i w:val="0"/>
                <w:color w:val="0B2545"/>
                <w:sz w:val="16"/>
              </w:rPr>
              <w:t>AI-assisted alternatives and outcome learning.</w:t>
            </w:r>
          </w:p>
        </w:tc>
      </w:tr>
      <w:tr>
        <w:trPr>
          <w:cantSplit/>
        </w:trPr>
        <w:tc>
          <w:tcPr>
            <w:tcW w:type="dxa" w:w="1900"/>
            <w:vAlign w:val="center"/>
            <w:tcMar>
              <w:top w:w="80" w:type="dxa"/>
              <w:bottom w:w="80" w:type="dxa"/>
              <w:start w:w="120" w:type="dxa"/>
              <w:end w:w="120" w:type="dxa"/>
            </w:tcMar>
          </w:tcPr>
          <w:p>
            <w:pPr>
              <w:spacing w:after="0" w:line="250" w:lineRule="auto"/>
            </w:pPr>
            <w:r>
              <w:rPr>
                <w:rFonts w:ascii="Calibri" w:hAnsi="Calibri"/>
                <w:b w:val="0"/>
                <w:i w:val="0"/>
                <w:color w:val="0B2545"/>
                <w:sz w:val="16"/>
              </w:rPr>
              <w:t>Operations</w:t>
            </w:r>
          </w:p>
        </w:tc>
        <w:tc>
          <w:tcPr>
            <w:tcW w:type="dxa" w:w="4150"/>
            <w:vAlign w:val="center"/>
            <w:tcMar>
              <w:top w:w="80" w:type="dxa"/>
              <w:bottom w:w="80" w:type="dxa"/>
              <w:start w:w="120" w:type="dxa"/>
              <w:end w:w="120" w:type="dxa"/>
            </w:tcMar>
          </w:tcPr>
          <w:p>
            <w:pPr>
              <w:spacing w:after="0" w:line="250" w:lineRule="auto"/>
            </w:pPr>
            <w:r>
              <w:rPr>
                <w:rFonts w:ascii="Calibri" w:hAnsi="Calibri"/>
                <w:b w:val="0"/>
                <w:i w:val="0"/>
                <w:color w:val="0B2545"/>
                <w:sz w:val="16"/>
              </w:rPr>
              <w:t>Local deployment, backup, restore, health view and export.</w:t>
            </w:r>
          </w:p>
        </w:tc>
        <w:tc>
          <w:tcPr>
            <w:tcW w:type="dxa" w:w="3310"/>
            <w:vAlign w:val="center"/>
            <w:tcMar>
              <w:top w:w="80" w:type="dxa"/>
              <w:bottom w:w="80" w:type="dxa"/>
              <w:start w:w="120" w:type="dxa"/>
              <w:end w:w="120" w:type="dxa"/>
            </w:tcMar>
          </w:tcPr>
          <w:p>
            <w:pPr>
              <w:spacing w:after="0" w:line="250" w:lineRule="auto"/>
            </w:pPr>
            <w:r>
              <w:rPr>
                <w:rFonts w:ascii="Calibri" w:hAnsi="Calibri"/>
                <w:b w:val="0"/>
                <w:i w:val="0"/>
                <w:color w:val="0B2545"/>
                <w:sz w:val="16"/>
              </w:rPr>
              <w:t>Optional remote access or cloud transport without moving live authority.</w:t>
            </w:r>
          </w:p>
        </w:tc>
      </w:tr>
    </w:tbl>
    <w:p>
      <w:pPr>
        <w:spacing w:after="20"/>
      </w:pPr>
    </w:p>
    <w:p>
      <w:r>
        <w:br w:type="page"/>
      </w:r>
    </w:p>
    <w:p>
      <w:pPr>
        <w:pStyle w:val="Heading1"/>
      </w:pPr>
      <w:r>
        <w:t>9. Cross-Cutting Acceptance Criteria</w:t>
      </w:r>
    </w:p>
    <w:tbl>
      <w:tblPr>
        <w:tblStyle w:val="TableGrid"/>
        <w:tblW w:type="dxa" w:w="9360"/>
        <w:jc w:val="left"/>
        <w:tblLayout w:type="fixed"/>
        <w:tblLook w:firstColumn="1" w:firstRow="1" w:lastColumn="0" w:lastRow="0" w:noHBand="0" w:noVBand="1" w:val="04A0"/>
        <w:tblInd w:w="120" w:type="dxa"/>
      </w:tblPr>
      <w:tblGrid>
        <w:gridCol w:w="1250"/>
        <w:gridCol w:w="8110"/>
      </w:tblGrid>
      <w:tr>
        <w:trPr>
          <w:tblHeader w:val="true"/>
          <w:cantSplit/>
        </w:trPr>
        <w:tc>
          <w:tcPr>
            <w:tcW w:type="dxa" w:w="1250"/>
            <w:shd w:fill="F2F4F7"/>
            <w:vAlign w:val="center"/>
            <w:tcMar>
              <w:top w:w="80" w:type="dxa"/>
              <w:bottom w:w="80" w:type="dxa"/>
              <w:start w:w="120" w:type="dxa"/>
              <w:end w:w="120" w:type="dxa"/>
            </w:tcMar>
          </w:tcPr>
          <w:p>
            <w:pPr>
              <w:spacing w:after="0"/>
            </w:pPr>
            <w:r>
              <w:rPr>
                <w:rFonts w:ascii="Calibri" w:hAnsi="Calibri"/>
                <w:b/>
                <w:i w:val="0"/>
                <w:color w:val="0B2545"/>
                <w:sz w:val="16"/>
              </w:rPr>
              <w:t>ID</w:t>
            </w:r>
          </w:p>
        </w:tc>
        <w:tc>
          <w:tcPr>
            <w:tcW w:type="dxa" w:w="8110"/>
            <w:shd w:fill="F2F4F7"/>
            <w:vAlign w:val="center"/>
            <w:tcMar>
              <w:top w:w="80" w:type="dxa"/>
              <w:bottom w:w="80" w:type="dxa"/>
              <w:start w:w="120" w:type="dxa"/>
              <w:end w:w="120" w:type="dxa"/>
            </w:tcMar>
          </w:tcPr>
          <w:p>
            <w:pPr>
              <w:spacing w:after="0"/>
            </w:pPr>
            <w:r>
              <w:rPr>
                <w:rFonts w:ascii="Calibri" w:hAnsi="Calibri"/>
                <w:b/>
                <w:i w:val="0"/>
                <w:color w:val="0B2545"/>
                <w:sz w:val="16"/>
              </w:rPr>
              <w:t>Acceptance criterion</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AC-X-01</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 captured/imported dividend transaction appears once in the ledger and updates every applicable actual view without re-entry.</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AC-X-02</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The same import can be rerun without creating a duplicate, and unmatched accounts are blocked for resolution.</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AC-X-03</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Declaration, Plan, projection and actual cash for one symbol can be viewed together without any state overwriting another.</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AC-X-04</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Every weekly view resolves to the same Saturday–Friday week key and produces the same boundaries.</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AC-X-05</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 corrected transaction or plan creates an auditable change and recalculates dependent views consistently.</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AC-X-06</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 taxable Car lot can display actual-price-paid performance basis and separate ROC-adjusted tax basis with complete adjustment history.</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AC-X-07</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Marketplace MAGI projection identifies all included categories, household/rule version, actual-to-date, forecast and safety-margin warnings.</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AC-X-08</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Internal Roth/IRA/HSA dividends do not enter MAGI merely because they were paid inside the account.</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AC-X-09</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 ticker rename changes current displays across modules while historical records retain the old ticker and effective dates.</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AC-X-10</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 sale workflow recommends but does not assume lowest-cost-first and requires explicit lot reconciliation.</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AC-X-11</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When a provider/API is unavailable, the application shows the last valid value, timestamp and stale status and allows controlled manual continuation.</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AC-X-12</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 Shopping Cart proposal can compare the suggested action with alternatives across income, principal, allocation, tax and liquidity evidence.</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AC-X-13</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An AI recommendation can be traced to its input snapshot, model/version and owner response and cannot change authoritative data without approval.</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AC-X-14</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Every chart can reveal its exact values, time basis, filters, source and calculation details.</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AC-X-15</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 backup integrity check and test restore reproduce canonical totals and audit history at the selected point in time.</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AC-X-16</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 documented export contains sufficient canonical data and configuration to migrate the system without relying on the backup provider as a live database.</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AC-X-17</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Cross-module reconciliation reports either agreement or an explicit, actionable variance—never a silent mismatch.</w:t>
            </w:r>
          </w:p>
        </w:tc>
      </w:tr>
      <w:tr>
        <w:trPr>
          <w:cantSplit/>
        </w:trPr>
        <w:tc>
          <w:tcPr>
            <w:tcW w:type="dxa" w:w="1250"/>
            <w:vAlign w:val="center"/>
            <w:tcMar>
              <w:top w:w="80" w:type="dxa"/>
              <w:bottom w:w="80" w:type="dxa"/>
              <w:start w:w="120" w:type="dxa"/>
              <w:end w:w="120" w:type="dxa"/>
            </w:tcMar>
          </w:tcPr>
          <w:p>
            <w:pPr>
              <w:spacing w:after="0" w:line="250" w:lineRule="auto"/>
            </w:pPr>
            <w:r>
              <w:rPr>
                <w:rFonts w:ascii="Calibri" w:hAnsi="Calibri"/>
                <w:b w:val="0"/>
                <w:i w:val="0"/>
                <w:color w:val="0B2545"/>
                <w:sz w:val="16"/>
              </w:rPr>
              <w:t>AC-X-18</w:t>
            </w:r>
          </w:p>
        </w:tc>
        <w:tc>
          <w:tcPr>
            <w:tcW w:type="dxa" w:w="8110"/>
            <w:vAlign w:val="center"/>
            <w:tcMar>
              <w:top w:w="80" w:type="dxa"/>
              <w:bottom w:w="80" w:type="dxa"/>
              <w:start w:w="120" w:type="dxa"/>
              <w:end w:w="120" w:type="dxa"/>
            </w:tcMar>
          </w:tcPr>
          <w:p>
            <w:pPr>
              <w:spacing w:after="0" w:line="250" w:lineRule="auto"/>
            </w:pPr>
            <w:r>
              <w:rPr>
                <w:rFonts w:ascii="Calibri" w:hAnsi="Calibri"/>
                <w:b w:val="0"/>
                <w:i w:val="0"/>
                <w:color w:val="0B2545"/>
                <w:sz w:val="16"/>
              </w:rPr>
              <w:t>All critical formulas pass tests covering weekly/monthly/quarterly schedules, multiple accounts, ROC, symbol changes and manual/API source failures.</w:t>
            </w:r>
          </w:p>
        </w:tc>
      </w:tr>
    </w:tbl>
    <w:p>
      <w:pPr>
        <w:spacing w:after="20"/>
      </w:pPr>
    </w:p>
    <w:p>
      <w:pPr>
        <w:pStyle w:val="Heading1"/>
      </w:pPr>
      <w:r>
        <w:t>10. Architecture Governance</w:t>
      </w:r>
    </w:p>
    <w:p>
      <w:pPr>
        <w:spacing w:after="100"/>
      </w:pPr>
      <w:r>
        <w:rPr>
          <w:rFonts w:ascii="Calibri" w:hAnsi="Calibri"/>
          <w:b/>
          <w:i w:val="0"/>
          <w:color w:val="0B2545"/>
          <w:sz w:val="22"/>
        </w:rPr>
        <w:t xml:space="preserve">Change control: </w:t>
      </w:r>
      <w:r>
        <w:rPr>
          <w:rFonts w:ascii="Calibri" w:hAnsi="Calibri"/>
          <w:b w:val="0"/>
          <w:i w:val="0"/>
          <w:color w:val="0B2545"/>
          <w:sz w:val="22"/>
        </w:rPr>
        <w:t>A change to a BR-X requirement requires an architecture decision record identifying rationale, affected tab documents, migration impact, tests and owner approval.</w:t>
      </w:r>
    </w:p>
    <w:p>
      <w:pPr>
        <w:spacing w:after="100"/>
      </w:pPr>
      <w:r>
        <w:rPr>
          <w:rFonts w:ascii="Calibri" w:hAnsi="Calibri"/>
          <w:b/>
          <w:i w:val="0"/>
          <w:color w:val="0B2545"/>
          <w:sz w:val="22"/>
        </w:rPr>
        <w:t xml:space="preserve">Traceability: </w:t>
      </w:r>
      <w:r>
        <w:rPr>
          <w:rFonts w:ascii="Calibri" w:hAnsi="Calibri"/>
          <w:b w:val="0"/>
          <w:i w:val="0"/>
          <w:color w:val="0B2545"/>
          <w:sz w:val="22"/>
        </w:rPr>
        <w:t>The master architecture and implementation backlog must map every component and epic to applicable BR-X IDs and tab-specific requirement IDs.</w:t>
      </w:r>
    </w:p>
    <w:p>
      <w:pPr>
        <w:spacing w:after="100"/>
      </w:pPr>
      <w:r>
        <w:rPr>
          <w:rFonts w:ascii="Calibri" w:hAnsi="Calibri"/>
          <w:b/>
          <w:i w:val="0"/>
          <w:color w:val="0B2545"/>
          <w:sz w:val="22"/>
        </w:rPr>
        <w:t xml:space="preserve">Verification: </w:t>
      </w:r>
      <w:r>
        <w:rPr>
          <w:rFonts w:ascii="Calibri" w:hAnsi="Calibri"/>
          <w:b w:val="0"/>
          <w:i w:val="0"/>
          <w:color w:val="0B2545"/>
          <w:sz w:val="22"/>
        </w:rPr>
        <w:t>Delivery evidence includes automated tests, reconciled totals, visual/UI evidence where relevant, backup/restore results and an explicit list of any unmet acceptance criteria.</w:t>
      </w:r>
    </w:p>
    <w:p>
      <w:pPr>
        <w:spacing w:after="100"/>
      </w:pPr>
      <w:r>
        <w:rPr>
          <w:rFonts w:ascii="Calibri" w:hAnsi="Calibri"/>
          <w:b/>
          <w:i w:val="0"/>
          <w:color w:val="0B2545"/>
          <w:sz w:val="22"/>
        </w:rPr>
        <w:t xml:space="preserve">No success by assertion: </w:t>
      </w:r>
      <w:r>
        <w:rPr>
          <w:rFonts w:ascii="Calibri" w:hAnsi="Calibri"/>
          <w:b w:val="0"/>
          <w:i w:val="0"/>
          <w:color w:val="0B2545"/>
          <w:sz w:val="22"/>
        </w:rPr>
        <w:t>A requirement is not complete because code or documentation says it is complete. Completion requires observable evidence that the end-user behavior and data result exist.</w:t>
      </w:r>
    </w:p>
    <w:p>
      <w:pPr>
        <w:pStyle w:val="Heading1"/>
      </w:pPr>
      <w:r>
        <w:t>11. Risks Prevented by This Baseline</w:t>
      </w:r>
    </w:p>
    <w:tbl>
      <w:tblPr>
        <w:tblStyle w:val="TableGrid"/>
        <w:tblW w:type="dxa" w:w="9360"/>
        <w:jc w:val="left"/>
        <w:tblLayout w:type="fixed"/>
        <w:tblLook w:firstColumn="1" w:firstRow="1" w:lastColumn="0" w:lastRow="0" w:noHBand="0" w:noVBand="1" w:val="04A0"/>
        <w:tblInd w:w="120" w:type="dxa"/>
      </w:tblPr>
      <w:tblGrid>
        <w:gridCol w:w="3150"/>
        <w:gridCol w:w="6210"/>
      </w:tblGrid>
      <w:tr>
        <w:trPr>
          <w:tblHeader w:val="true"/>
          <w:cantSplit/>
        </w:trPr>
        <w:tc>
          <w:tcPr>
            <w:tcW w:type="dxa" w:w="3150"/>
            <w:shd w:fill="F2F4F7"/>
            <w:vAlign w:val="center"/>
            <w:tcMar>
              <w:top w:w="80" w:type="dxa"/>
              <w:bottom w:w="80" w:type="dxa"/>
              <w:start w:w="120" w:type="dxa"/>
              <w:end w:w="120" w:type="dxa"/>
            </w:tcMar>
          </w:tcPr>
          <w:p>
            <w:pPr>
              <w:spacing w:after="0"/>
            </w:pPr>
            <w:r>
              <w:rPr>
                <w:rFonts w:ascii="Calibri" w:hAnsi="Calibri"/>
                <w:b/>
                <w:i w:val="0"/>
                <w:color w:val="0B2545"/>
                <w:sz w:val="16"/>
              </w:rPr>
              <w:t>Prevented failure</w:t>
            </w:r>
          </w:p>
        </w:tc>
        <w:tc>
          <w:tcPr>
            <w:tcW w:type="dxa" w:w="6210"/>
            <w:shd w:fill="F2F4F7"/>
            <w:vAlign w:val="center"/>
            <w:tcMar>
              <w:top w:w="80" w:type="dxa"/>
              <w:bottom w:w="80" w:type="dxa"/>
              <w:start w:w="120" w:type="dxa"/>
              <w:end w:w="120" w:type="dxa"/>
            </w:tcMar>
          </w:tcPr>
          <w:p>
            <w:pPr>
              <w:spacing w:after="0"/>
            </w:pPr>
            <w:r>
              <w:rPr>
                <w:rFonts w:ascii="Calibri" w:hAnsi="Calibri"/>
                <w:b/>
                <w:i w:val="0"/>
                <w:color w:val="0B2545"/>
                <w:sz w:val="16"/>
              </w:rPr>
              <w:t>Control</w:t>
            </w:r>
          </w:p>
        </w:tc>
      </w:tr>
      <w:tr>
        <w:trPr>
          <w:cantSplit/>
        </w:trPr>
        <w:tc>
          <w:tcPr>
            <w:tcW w:type="dxa" w:w="3150"/>
            <w:vAlign w:val="center"/>
            <w:tcMar>
              <w:top w:w="80" w:type="dxa"/>
              <w:bottom w:w="80" w:type="dxa"/>
              <w:start w:w="120" w:type="dxa"/>
              <w:end w:w="120" w:type="dxa"/>
            </w:tcMar>
          </w:tcPr>
          <w:p>
            <w:pPr>
              <w:spacing w:after="0" w:line="250" w:lineRule="auto"/>
            </w:pPr>
            <w:r>
              <w:rPr>
                <w:rFonts w:ascii="Calibri" w:hAnsi="Calibri"/>
                <w:b w:val="0"/>
                <w:i w:val="0"/>
                <w:color w:val="0B2545"/>
                <w:sz w:val="16"/>
              </w:rPr>
              <w:t>Different totals across tabs</w:t>
            </w:r>
          </w:p>
        </w:tc>
        <w:tc>
          <w:tcPr>
            <w:tcW w:type="dxa" w:w="6210"/>
            <w:vAlign w:val="center"/>
            <w:tcMar>
              <w:top w:w="80" w:type="dxa"/>
              <w:bottom w:w="80" w:type="dxa"/>
              <w:start w:w="120" w:type="dxa"/>
              <w:end w:w="120" w:type="dxa"/>
            </w:tcMar>
          </w:tcPr>
          <w:p>
            <w:pPr>
              <w:spacing w:after="0" w:line="250" w:lineRule="auto"/>
            </w:pPr>
            <w:r>
              <w:rPr>
                <w:rFonts w:ascii="Calibri" w:hAnsi="Calibri"/>
                <w:b w:val="0"/>
                <w:i w:val="0"/>
                <w:color w:val="0B2545"/>
                <w:sz w:val="16"/>
              </w:rPr>
              <w:t>Canonical facts, capture once and reconciliation.</w:t>
            </w:r>
          </w:p>
        </w:tc>
      </w:tr>
      <w:tr>
        <w:trPr>
          <w:cantSplit/>
        </w:trPr>
        <w:tc>
          <w:tcPr>
            <w:tcW w:type="dxa" w:w="3150"/>
            <w:vAlign w:val="center"/>
            <w:tcMar>
              <w:top w:w="80" w:type="dxa"/>
              <w:bottom w:w="80" w:type="dxa"/>
              <w:start w:w="120" w:type="dxa"/>
              <w:end w:w="120" w:type="dxa"/>
            </w:tcMar>
          </w:tcPr>
          <w:p>
            <w:pPr>
              <w:spacing w:after="0" w:line="250" w:lineRule="auto"/>
            </w:pPr>
            <w:r>
              <w:rPr>
                <w:rFonts w:ascii="Calibri" w:hAnsi="Calibri"/>
                <w:b w:val="0"/>
                <w:i w:val="0"/>
                <w:color w:val="0B2545"/>
                <w:sz w:val="16"/>
              </w:rPr>
              <w:t>Silent duplicate imports</w:t>
            </w:r>
          </w:p>
        </w:tc>
        <w:tc>
          <w:tcPr>
            <w:tcW w:type="dxa" w:w="6210"/>
            <w:vAlign w:val="center"/>
            <w:tcMar>
              <w:top w:w="80" w:type="dxa"/>
              <w:bottom w:w="80" w:type="dxa"/>
              <w:start w:w="120" w:type="dxa"/>
              <w:end w:w="120" w:type="dxa"/>
            </w:tcMar>
          </w:tcPr>
          <w:p>
            <w:pPr>
              <w:spacing w:after="0" w:line="250" w:lineRule="auto"/>
            </w:pPr>
            <w:r>
              <w:rPr>
                <w:rFonts w:ascii="Calibri" w:hAnsi="Calibri"/>
                <w:b w:val="0"/>
                <w:i w:val="0"/>
                <w:color w:val="0B2545"/>
                <w:sz w:val="16"/>
              </w:rPr>
              <w:t>Broker-account identity and idempotency.</w:t>
            </w:r>
          </w:p>
        </w:tc>
      </w:tr>
      <w:tr>
        <w:trPr>
          <w:cantSplit/>
        </w:trPr>
        <w:tc>
          <w:tcPr>
            <w:tcW w:type="dxa" w:w="3150"/>
            <w:vAlign w:val="center"/>
            <w:tcMar>
              <w:top w:w="80" w:type="dxa"/>
              <w:bottom w:w="80" w:type="dxa"/>
              <w:start w:w="120" w:type="dxa"/>
              <w:end w:w="120" w:type="dxa"/>
            </w:tcMar>
          </w:tcPr>
          <w:p>
            <w:pPr>
              <w:spacing w:after="0" w:line="250" w:lineRule="auto"/>
            </w:pPr>
            <w:r>
              <w:rPr>
                <w:rFonts w:ascii="Calibri" w:hAnsi="Calibri"/>
                <w:b w:val="0"/>
                <w:i w:val="0"/>
                <w:color w:val="0B2545"/>
                <w:sz w:val="16"/>
              </w:rPr>
              <w:t>Historical plans rewritten by current data</w:t>
            </w:r>
          </w:p>
        </w:tc>
        <w:tc>
          <w:tcPr>
            <w:tcW w:type="dxa" w:w="6210"/>
            <w:vAlign w:val="center"/>
            <w:tcMar>
              <w:top w:w="80" w:type="dxa"/>
              <w:bottom w:w="80" w:type="dxa"/>
              <w:start w:w="120" w:type="dxa"/>
              <w:end w:w="120" w:type="dxa"/>
            </w:tcMar>
          </w:tcPr>
          <w:p>
            <w:pPr>
              <w:spacing w:after="0" w:line="250" w:lineRule="auto"/>
            </w:pPr>
            <w:r>
              <w:rPr>
                <w:rFonts w:ascii="Calibri" w:hAnsi="Calibri"/>
                <w:b w:val="0"/>
                <w:i w:val="0"/>
                <w:color w:val="0B2545"/>
                <w:sz w:val="16"/>
              </w:rPr>
              <w:t>Effective-dated versions and immutable snapshots.</w:t>
            </w:r>
          </w:p>
        </w:tc>
      </w:tr>
      <w:tr>
        <w:trPr>
          <w:cantSplit/>
        </w:trPr>
        <w:tc>
          <w:tcPr>
            <w:tcW w:type="dxa" w:w="3150"/>
            <w:vAlign w:val="center"/>
            <w:tcMar>
              <w:top w:w="80" w:type="dxa"/>
              <w:bottom w:w="80" w:type="dxa"/>
              <w:start w:w="120" w:type="dxa"/>
              <w:end w:w="120" w:type="dxa"/>
            </w:tcMar>
          </w:tcPr>
          <w:p>
            <w:pPr>
              <w:spacing w:after="0" w:line="250" w:lineRule="auto"/>
            </w:pPr>
            <w:r>
              <w:rPr>
                <w:rFonts w:ascii="Calibri" w:hAnsi="Calibri"/>
                <w:b w:val="0"/>
                <w:i w:val="0"/>
                <w:color w:val="0B2545"/>
                <w:sz w:val="16"/>
              </w:rPr>
              <w:t>ROC corrupts performance basis</w:t>
            </w:r>
          </w:p>
        </w:tc>
        <w:tc>
          <w:tcPr>
            <w:tcW w:type="dxa" w:w="6210"/>
            <w:vAlign w:val="center"/>
            <w:tcMar>
              <w:top w:w="80" w:type="dxa"/>
              <w:bottom w:w="80" w:type="dxa"/>
              <w:start w:w="120" w:type="dxa"/>
              <w:end w:w="120" w:type="dxa"/>
            </w:tcMar>
          </w:tcPr>
          <w:p>
            <w:pPr>
              <w:spacing w:after="0" w:line="250" w:lineRule="auto"/>
            </w:pPr>
            <w:r>
              <w:rPr>
                <w:rFonts w:ascii="Calibri" w:hAnsi="Calibri"/>
                <w:b w:val="0"/>
                <w:i w:val="0"/>
                <w:color w:val="0B2545"/>
                <w:sz w:val="16"/>
              </w:rPr>
              <w:t>Dual cost representation and approved adjustments.</w:t>
            </w:r>
          </w:p>
        </w:tc>
      </w:tr>
      <w:tr>
        <w:trPr>
          <w:cantSplit/>
        </w:trPr>
        <w:tc>
          <w:tcPr>
            <w:tcW w:type="dxa" w:w="3150"/>
            <w:vAlign w:val="center"/>
            <w:tcMar>
              <w:top w:w="80" w:type="dxa"/>
              <w:bottom w:w="80" w:type="dxa"/>
              <w:start w:w="120" w:type="dxa"/>
              <w:end w:w="120" w:type="dxa"/>
            </w:tcMar>
          </w:tcPr>
          <w:p>
            <w:pPr>
              <w:spacing w:after="0" w:line="250" w:lineRule="auto"/>
            </w:pPr>
            <w:r>
              <w:rPr>
                <w:rFonts w:ascii="Calibri" w:hAnsi="Calibri"/>
                <w:b w:val="0"/>
                <w:i w:val="0"/>
                <w:color w:val="0B2545"/>
                <w:sz w:val="16"/>
              </w:rPr>
              <w:t>Marketplace warning misses income</w:t>
            </w:r>
          </w:p>
        </w:tc>
        <w:tc>
          <w:tcPr>
            <w:tcW w:type="dxa" w:w="6210"/>
            <w:vAlign w:val="center"/>
            <w:tcMar>
              <w:top w:w="80" w:type="dxa"/>
              <w:bottom w:w="80" w:type="dxa"/>
              <w:start w:w="120" w:type="dxa"/>
              <w:end w:w="120" w:type="dxa"/>
            </w:tcMar>
          </w:tcPr>
          <w:p>
            <w:pPr>
              <w:spacing w:after="0" w:line="250" w:lineRule="auto"/>
            </w:pPr>
            <w:r>
              <w:rPr>
                <w:rFonts w:ascii="Calibri" w:hAnsi="Calibri"/>
                <w:b w:val="0"/>
                <w:i w:val="0"/>
                <w:color w:val="0B2545"/>
                <w:sz w:val="16"/>
              </w:rPr>
              <w:t>Tax-category MAGI model rather than an account-only rule.</w:t>
            </w:r>
          </w:p>
        </w:tc>
      </w:tr>
      <w:tr>
        <w:trPr>
          <w:cantSplit/>
        </w:trPr>
        <w:tc>
          <w:tcPr>
            <w:tcW w:type="dxa" w:w="3150"/>
            <w:vAlign w:val="center"/>
            <w:tcMar>
              <w:top w:w="80" w:type="dxa"/>
              <w:bottom w:w="80" w:type="dxa"/>
              <w:start w:w="120" w:type="dxa"/>
              <w:end w:w="120" w:type="dxa"/>
            </w:tcMar>
          </w:tcPr>
          <w:p>
            <w:pPr>
              <w:spacing w:after="0" w:line="250" w:lineRule="auto"/>
            </w:pPr>
            <w:r>
              <w:rPr>
                <w:rFonts w:ascii="Calibri" w:hAnsi="Calibri"/>
                <w:b w:val="0"/>
                <w:i w:val="0"/>
                <w:color w:val="0B2545"/>
                <w:sz w:val="16"/>
              </w:rPr>
              <w:t>AI invents or changes financial facts</w:t>
            </w:r>
          </w:p>
        </w:tc>
        <w:tc>
          <w:tcPr>
            <w:tcW w:type="dxa" w:w="6210"/>
            <w:vAlign w:val="center"/>
            <w:tcMar>
              <w:top w:w="80" w:type="dxa"/>
              <w:bottom w:w="80" w:type="dxa"/>
              <w:start w:w="120" w:type="dxa"/>
              <w:end w:w="120" w:type="dxa"/>
            </w:tcMar>
          </w:tcPr>
          <w:p>
            <w:pPr>
              <w:spacing w:after="0" w:line="250" w:lineRule="auto"/>
            </w:pPr>
            <w:r>
              <w:rPr>
                <w:rFonts w:ascii="Calibri" w:hAnsi="Calibri"/>
                <w:b w:val="0"/>
                <w:i w:val="0"/>
                <w:color w:val="0B2545"/>
                <w:sz w:val="16"/>
              </w:rPr>
              <w:t>Bounded advisory integration, provenance and approval.</w:t>
            </w:r>
          </w:p>
        </w:tc>
      </w:tr>
      <w:tr>
        <w:trPr>
          <w:cantSplit/>
        </w:trPr>
        <w:tc>
          <w:tcPr>
            <w:tcW w:type="dxa" w:w="3150"/>
            <w:vAlign w:val="center"/>
            <w:tcMar>
              <w:top w:w="80" w:type="dxa"/>
              <w:bottom w:w="80" w:type="dxa"/>
              <w:start w:w="120" w:type="dxa"/>
              <w:end w:w="120" w:type="dxa"/>
            </w:tcMar>
          </w:tcPr>
          <w:p>
            <w:pPr>
              <w:spacing w:after="0" w:line="250" w:lineRule="auto"/>
            </w:pPr>
            <w:r>
              <w:rPr>
                <w:rFonts w:ascii="Calibri" w:hAnsi="Calibri"/>
                <w:b w:val="0"/>
                <w:i w:val="0"/>
                <w:color w:val="0B2545"/>
                <w:sz w:val="16"/>
              </w:rPr>
              <w:t>Cloud/vendor lock-in</w:t>
            </w:r>
          </w:p>
        </w:tc>
        <w:tc>
          <w:tcPr>
            <w:tcW w:type="dxa" w:w="6210"/>
            <w:vAlign w:val="center"/>
            <w:tcMar>
              <w:top w:w="80" w:type="dxa"/>
              <w:bottom w:w="80" w:type="dxa"/>
              <w:start w:w="120" w:type="dxa"/>
              <w:end w:w="120" w:type="dxa"/>
            </w:tcMar>
          </w:tcPr>
          <w:p>
            <w:pPr>
              <w:spacing w:after="0" w:line="250" w:lineRule="auto"/>
            </w:pPr>
            <w:r>
              <w:rPr>
                <w:rFonts w:ascii="Calibri" w:hAnsi="Calibri"/>
                <w:b w:val="0"/>
                <w:i w:val="0"/>
                <w:color w:val="0B2545"/>
                <w:sz w:val="16"/>
              </w:rPr>
              <w:t>Local authority, common-format export and tested restore.</w:t>
            </w:r>
          </w:p>
        </w:tc>
      </w:tr>
      <w:tr>
        <w:trPr>
          <w:cantSplit/>
        </w:trPr>
        <w:tc>
          <w:tcPr>
            <w:tcW w:type="dxa" w:w="3150"/>
            <w:vAlign w:val="center"/>
            <w:tcMar>
              <w:top w:w="80" w:type="dxa"/>
              <w:bottom w:w="80" w:type="dxa"/>
              <w:start w:w="120" w:type="dxa"/>
              <w:end w:w="120" w:type="dxa"/>
            </w:tcMar>
          </w:tcPr>
          <w:p>
            <w:pPr>
              <w:spacing w:after="0" w:line="250" w:lineRule="auto"/>
            </w:pPr>
            <w:r>
              <w:rPr>
                <w:rFonts w:ascii="Calibri" w:hAnsi="Calibri"/>
                <w:b w:val="0"/>
                <w:i w:val="0"/>
                <w:color w:val="0B2545"/>
                <w:sz w:val="16"/>
              </w:rPr>
              <w:t>Spreadsheet constraints become software design</w:t>
            </w:r>
          </w:p>
        </w:tc>
        <w:tc>
          <w:tcPr>
            <w:tcW w:type="dxa" w:w="6210"/>
            <w:vAlign w:val="center"/>
            <w:tcMar>
              <w:top w:w="80" w:type="dxa"/>
              <w:bottom w:w="80" w:type="dxa"/>
              <w:start w:w="120" w:type="dxa"/>
              <w:end w:w="120" w:type="dxa"/>
            </w:tcMar>
          </w:tcPr>
          <w:p>
            <w:pPr>
              <w:spacing w:after="0" w:line="250" w:lineRule="auto"/>
            </w:pPr>
            <w:r>
              <w:rPr>
                <w:rFonts w:ascii="Calibri" w:hAnsi="Calibri"/>
                <w:b w:val="0"/>
                <w:i w:val="0"/>
                <w:color w:val="0B2545"/>
                <w:sz w:val="16"/>
              </w:rPr>
              <w:t>Intent-over-mechanics and modular services.</w:t>
            </w:r>
          </w:p>
        </w:tc>
      </w:tr>
      <w:tr>
        <w:trPr>
          <w:cantSplit/>
        </w:trPr>
        <w:tc>
          <w:tcPr>
            <w:tcW w:type="dxa" w:w="3150"/>
            <w:vAlign w:val="center"/>
            <w:tcMar>
              <w:top w:w="80" w:type="dxa"/>
              <w:bottom w:w="80" w:type="dxa"/>
              <w:start w:w="120" w:type="dxa"/>
              <w:end w:w="120" w:type="dxa"/>
            </w:tcMar>
          </w:tcPr>
          <w:p>
            <w:pPr>
              <w:spacing w:after="0" w:line="250" w:lineRule="auto"/>
            </w:pPr>
            <w:r>
              <w:rPr>
                <w:rFonts w:ascii="Calibri" w:hAnsi="Calibri"/>
                <w:b w:val="0"/>
                <w:i w:val="0"/>
                <w:color w:val="0B2545"/>
                <w:sz w:val="16"/>
              </w:rPr>
              <w:t>Polished UI hides weak data</w:t>
            </w:r>
          </w:p>
        </w:tc>
        <w:tc>
          <w:tcPr>
            <w:tcW w:type="dxa" w:w="6210"/>
            <w:vAlign w:val="center"/>
            <w:tcMar>
              <w:top w:w="80" w:type="dxa"/>
              <w:bottom w:w="80" w:type="dxa"/>
              <w:start w:w="120" w:type="dxa"/>
              <w:end w:w="120" w:type="dxa"/>
            </w:tcMar>
          </w:tcPr>
          <w:p>
            <w:pPr>
              <w:spacing w:after="0" w:line="250" w:lineRule="auto"/>
            </w:pPr>
            <w:r>
              <w:rPr>
                <w:rFonts w:ascii="Calibri" w:hAnsi="Calibri"/>
                <w:b w:val="0"/>
                <w:i w:val="0"/>
                <w:color w:val="0B2545"/>
                <w:sz w:val="16"/>
              </w:rPr>
              <w:t>Exact drill-down, provenance, freshness and exception status.</w:t>
            </w:r>
          </w:p>
        </w:tc>
      </w:tr>
    </w:tbl>
    <w:p>
      <w:pPr>
        <w:spacing w:after="20"/>
      </w:pPr>
    </w:p>
    <w:p>
      <w:pPr>
        <w:pStyle w:val="Heading1"/>
      </w:pPr>
      <w:r>
        <w:t>12. External Authoritative References</w:t>
      </w:r>
    </w:p>
    <w:p>
      <w:r>
        <w:rPr>
          <w:rFonts w:ascii="Calibri" w:hAnsi="Calibri"/>
          <w:b w:val="0"/>
          <w:i w:val="0"/>
          <w:color w:val="0B2545"/>
          <w:sz w:val="22"/>
        </w:rPr>
        <w:t>The following references support the normalized tax and Marketplace requirements. They should be refreshed during implementation because thresholds and rules are effective-dated.</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F2F4F7"/>
            <w:vAlign w:val="center"/>
            <w:tcMar>
              <w:top w:w="80" w:type="dxa"/>
              <w:bottom w:w="80" w:type="dxa"/>
              <w:start w:w="120" w:type="dxa"/>
              <w:end w:w="120" w:type="dxa"/>
            </w:tcMar>
          </w:tcPr>
          <w:p>
            <w:pPr>
              <w:spacing w:after="0"/>
            </w:pPr>
            <w:r>
              <w:rPr>
                <w:rFonts w:ascii="Calibri" w:hAnsi="Calibri"/>
                <w:b/>
                <w:i w:val="0"/>
                <w:color w:val="0B2545"/>
                <w:sz w:val="16"/>
              </w:rPr>
              <w:t>Reference</w:t>
            </w:r>
          </w:p>
        </w:tc>
        <w:tc>
          <w:tcPr>
            <w:tcW w:type="dxa" w:w="6060"/>
            <w:shd w:fill="F2F4F7"/>
            <w:vAlign w:val="center"/>
            <w:tcMar>
              <w:top w:w="80" w:type="dxa"/>
              <w:bottom w:w="80" w:type="dxa"/>
              <w:start w:w="120" w:type="dxa"/>
              <w:end w:w="120" w:type="dxa"/>
            </w:tcMar>
          </w:tcPr>
          <w:p>
            <w:pPr>
              <w:spacing w:after="0"/>
            </w:pPr>
            <w:r>
              <w:rPr>
                <w:rFonts w:ascii="Calibri" w:hAnsi="Calibri"/>
                <w:b/>
                <w:i w:val="0"/>
                <w:color w:val="0B2545"/>
                <w:sz w:val="16"/>
              </w:rPr>
              <w:t>Use</w:t>
            </w:r>
          </w:p>
        </w:tc>
      </w:tr>
      <w:tr>
        <w:trPr>
          <w:cantSplit/>
        </w:trPr>
        <w:tc>
          <w:tcPr>
            <w:tcW w:type="dxa" w:w="3300"/>
            <w:vAlign w:val="center"/>
            <w:tcMar>
              <w:top w:w="80" w:type="dxa"/>
              <w:bottom w:w="80" w:type="dxa"/>
              <w:start w:w="120" w:type="dxa"/>
              <w:end w:w="120" w:type="dxa"/>
            </w:tcMar>
          </w:tcPr>
          <w:p>
            <w:pPr>
              <w:spacing w:after="0" w:line="250" w:lineRule="auto"/>
            </w:pPr>
            <w:r>
              <w:rPr>
                <w:rFonts w:ascii="Calibri" w:hAnsi="Calibri"/>
                <w:b w:val="0"/>
                <w:i w:val="0"/>
                <w:color w:val="0B2545"/>
                <w:sz w:val="16"/>
              </w:rPr>
              <w:t>IRS — Questions and Answers on the Premium Tax Credit</w:t>
            </w:r>
          </w:p>
        </w:tc>
        <w:tc>
          <w:tcPr>
            <w:tcW w:type="dxa" w:w="6060"/>
            <w:vAlign w:val="center"/>
            <w:tcMar>
              <w:top w:w="80" w:type="dxa"/>
              <w:bottom w:w="80" w:type="dxa"/>
              <w:start w:w="120" w:type="dxa"/>
              <w:end w:w="120" w:type="dxa"/>
            </w:tcMar>
          </w:tcPr>
          <w:p>
            <w:pPr>
              <w:spacing w:after="0" w:line="250" w:lineRule="auto"/>
            </w:pPr>
            <w:r>
              <w:rPr>
                <w:rFonts w:ascii="Calibri" w:hAnsi="Calibri"/>
                <w:b w:val="0"/>
                <w:i w:val="0"/>
                <w:color w:val="0B2545"/>
                <w:sz w:val="16"/>
              </w:rPr>
              <w:t>Household income/MAGI definition, family size and applicable FPL rules. https://www.irs.gov/affordable-care-act/individuals-and-families/questions-and-answers-on-the-premium-tax-credit</w:t>
            </w:r>
          </w:p>
        </w:tc>
      </w:tr>
      <w:tr>
        <w:trPr>
          <w:cantSplit/>
        </w:trPr>
        <w:tc>
          <w:tcPr>
            <w:tcW w:type="dxa" w:w="3300"/>
            <w:vAlign w:val="center"/>
            <w:tcMar>
              <w:top w:w="80" w:type="dxa"/>
              <w:bottom w:w="80" w:type="dxa"/>
              <w:start w:w="120" w:type="dxa"/>
              <w:end w:w="120" w:type="dxa"/>
            </w:tcMar>
          </w:tcPr>
          <w:p>
            <w:pPr>
              <w:spacing w:after="0" w:line="250" w:lineRule="auto"/>
            </w:pPr>
            <w:r>
              <w:rPr>
                <w:rFonts w:ascii="Calibri" w:hAnsi="Calibri"/>
                <w:b w:val="0"/>
                <w:i w:val="0"/>
                <w:color w:val="0B2545"/>
                <w:sz w:val="16"/>
              </w:rPr>
              <w:t>IRS — Topic 404, Dividends and Other Corporate Distributions</w:t>
            </w:r>
          </w:p>
        </w:tc>
        <w:tc>
          <w:tcPr>
            <w:tcW w:type="dxa" w:w="6060"/>
            <w:vAlign w:val="center"/>
            <w:tcMar>
              <w:top w:w="80" w:type="dxa"/>
              <w:bottom w:w="80" w:type="dxa"/>
              <w:start w:w="120" w:type="dxa"/>
              <w:end w:w="120" w:type="dxa"/>
            </w:tcMar>
          </w:tcPr>
          <w:p>
            <w:pPr>
              <w:spacing w:after="0" w:line="250" w:lineRule="auto"/>
            </w:pPr>
            <w:r>
              <w:rPr>
                <w:rFonts w:ascii="Calibri" w:hAnsi="Calibri"/>
                <w:b w:val="0"/>
                <w:i w:val="0"/>
                <w:color w:val="0B2545"/>
                <w:sz w:val="16"/>
              </w:rPr>
              <w:t>Return-of-capital basis reduction and gain after basis reaches zero. https://www.irs.gov/taxtopics/tc404</w:t>
            </w:r>
          </w:p>
        </w:tc>
      </w:tr>
      <w:tr>
        <w:trPr>
          <w:cantSplit/>
        </w:trPr>
        <w:tc>
          <w:tcPr>
            <w:tcW w:type="dxa" w:w="3300"/>
            <w:vAlign w:val="center"/>
            <w:tcMar>
              <w:top w:w="80" w:type="dxa"/>
              <w:bottom w:w="80" w:type="dxa"/>
              <w:start w:w="120" w:type="dxa"/>
              <w:end w:w="120" w:type="dxa"/>
            </w:tcMar>
          </w:tcPr>
          <w:p>
            <w:pPr>
              <w:spacing w:after="0" w:line="250" w:lineRule="auto"/>
            </w:pPr>
            <w:r>
              <w:rPr>
                <w:rFonts w:ascii="Calibri" w:hAnsi="Calibri"/>
                <w:b w:val="0"/>
                <w:i w:val="0"/>
                <w:color w:val="0B2545"/>
                <w:sz w:val="16"/>
              </w:rPr>
              <w:t>HHS/Federal Register — Annual Poverty Guidelines</w:t>
            </w:r>
          </w:p>
        </w:tc>
        <w:tc>
          <w:tcPr>
            <w:tcW w:type="dxa" w:w="6060"/>
            <w:vAlign w:val="center"/>
            <w:tcMar>
              <w:top w:w="80" w:type="dxa"/>
              <w:bottom w:w="80" w:type="dxa"/>
              <w:start w:w="120" w:type="dxa"/>
              <w:end w:w="120" w:type="dxa"/>
            </w:tcMar>
          </w:tcPr>
          <w:p>
            <w:pPr>
              <w:spacing w:after="0" w:line="250" w:lineRule="auto"/>
            </w:pPr>
            <w:r>
              <w:rPr>
                <w:rFonts w:ascii="Calibri" w:hAnsi="Calibri"/>
                <w:b w:val="0"/>
                <w:i w:val="0"/>
                <w:color w:val="0B2545"/>
                <w:sz w:val="16"/>
              </w:rPr>
              <w:t>Effective annual poverty guidelines by household size and jurisdiction. https://www.federalregister.gov/documents/2026/01/15/2026-00755/annual-update-of-the-hhs-poverty-guidelines</w:t>
            </w:r>
          </w:p>
        </w:tc>
      </w:tr>
    </w:tbl>
    <w:p>
      <w:pPr>
        <w:spacing w:after="20"/>
      </w:pPr>
    </w:p>
    <w:p>
      <w:pPr>
        <w:pStyle w:val="Heading1"/>
      </w:pPr>
      <w:r>
        <w:t>13. Final Baseline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10" w:type="dxa"/>
              <w:bottom w:w="110" w:type="dxa"/>
              <w:start w:w="120" w:type="dxa"/>
              <w:end w:w="120" w:type="dxa"/>
            </w:tcMar>
            <w:shd w:fill="EAF4E2"/>
          </w:tcPr>
          <w:p>
            <w:pPr>
              <w:spacing w:after="0"/>
            </w:pPr>
            <w:r>
              <w:rPr>
                <w:rFonts w:ascii="Calibri" w:hAnsi="Calibri"/>
                <w:b/>
                <w:i w:val="0"/>
                <w:color w:val="315B24"/>
                <w:sz w:val="22"/>
              </w:rPr>
              <w:t xml:space="preserve">CROSS-CUTTING BASELINE COMPLETE: </w:t>
            </w:r>
            <w:r>
              <w:rPr>
                <w:rFonts w:ascii="Calibri" w:hAnsi="Calibri"/>
                <w:b w:val="0"/>
                <w:i w:val="0"/>
                <w:color w:val="315B24"/>
                <w:sz w:val="22"/>
              </w:rPr>
              <w:t>BR-X-01 through BR-X-53 and AC-X-01 through AC-X-18 are the project-wide requirements for the in-scope Finance Management System. They are the governing bridge between the completed tab documents and the forthcoming canonical data model, component architecture, requirements traceability matrix and phased implementation roadmap.</w:t>
            </w:r>
          </w:p>
        </w:tc>
      </w:tr>
    </w:tbl>
    <w:p>
      <w:pPr>
        <w:spacing w:after="20"/>
      </w:pPr>
    </w:p>
    <w:p>
      <w:r>
        <w:rPr>
          <w:rFonts w:ascii="Arial" w:hAnsi="Arial" w:eastAsia="Arial"/>
          <w:b w:val="0"/>
          <w:i w:val="0"/>
          <w:sz w:val="20"/>
        </w:rPr>
      </w:r>
    </w:p>
    <w:p>
      <w:r>
        <w:rPr>
          <w:rFonts w:ascii="Arial" w:hAnsi="Arial" w:eastAsia="Arial"/>
          <w:b/>
          <w:i w:val="0"/>
          <w:color w:val="1F4E79"/>
          <w:sz w:val="24"/>
        </w:rPr>
        <w:t>PROJECT LOCK DISPOSITION — 14 Aug 2026</w:t>
      </w:r>
    </w:p>
    <w:p>
      <w:r>
        <w:rPr>
          <w:rFonts w:ascii="Arial" w:hAnsi="Arial" w:eastAsia="Arial"/>
          <w:b/>
          <w:i w:val="0"/>
          <w:color w:val="006600"/>
          <w:sz w:val="22"/>
        </w:rPr>
        <w:t>Status: LOCKED — BASELINE COMPLETE. Binding cross-cutting requirements for the Finance Management System.</w:t>
      </w:r>
    </w:p>
    <w:p>
      <w:r>
        <w:rPr>
          <w:rFonts w:ascii="Arial" w:hAnsi="Arial" w:eastAsia="Arial"/>
          <w:b w:val="0"/>
          <w:i w:val="0"/>
          <w:sz w:val="20"/>
        </w:rPr>
        <w:t>This Finance-Management-System-Cross-Cutting-Requirements-v1.0 (BR-X-01 through BR-X-53, AC-X-01 through AC-X-18) SUPERSEDES the earlier same-day 16-item BR-X summary. Tab domain documents may add detail but may not create a second source of truth, bypass approval/audit, or weaken recoverability.</w:t>
      </w:r>
    </w:p>
    <w:p>
      <w:r>
        <w:rPr>
          <w:rFonts w:ascii="Arial" w:hAnsi="Arial" w:eastAsia="Arial"/>
          <w:b w:val="0"/>
          <w:i/>
          <w:sz w:val="20"/>
        </w:rPr>
        <w:t>Accepted against locked domain architectures: Holdings, Calculator, Position Details, Last Price, Income Plan, ROI Ledger, Trends, Dashboard, Shopping Cart, dual-cost, ROC, Dividend Import, transportability.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B6573"/>
        <w:sz w:val="18"/>
      </w:rPr>
      <w:t>Finance Management Application | Cross-Cutting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Management System Cross-Cutting Requirements</dc:title>
  <dc:subject>Project-wide business and architecture baseline</dc:subject>
  <dc:creator>OpenAI</dc:creator>
  <cp:keywords>finance management, cross-cutting requirements, architecture, data governance, AI, backup, MAGI, ROC</cp:keywords>
  <dc:description>generated by python-docx</dc:description>
  <cp:lastModifiedBy/>
  <cp:revision>1</cp:revision>
  <dcterms:created xsi:type="dcterms:W3CDTF">2013-12-23T23:15:00Z</dcterms:created>
  <dcterms:modified xsi:type="dcterms:W3CDTF">2013-12-23T23:15:00Z</dcterms:modified>
  <cp:category/>
</cp:coreProperties>
</file>