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HOLDINGS TAB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Current Architecture &amp; Business Process Inventory</w:t>
      </w:r>
    </w:p>
    <w:p>
      <w:pPr>
        <w:shd w:fill="D6EAF8" w:val="clear"/>
        <w:spacing w:after="100"/>
        <w:jc w:val="center"/>
      </w:pPr>
      <w:r>
        <w:rPr>
          <w:rFonts w:ascii="Calibri" w:cs="Calibri" w:eastAsia="Calibri" w:hAnsi="Calibri"/>
          <w:b/>
          <w:bCs/>
          <w:color w:val="1F4E79"/>
          <w:sz w:val="17"/>
          <w:szCs w:val="17"/>
        </w:rPr>
        <w:t xml:space="preserve">LOCKED — Completed working foundation  ·  2026-08-12</w:t>
      </w:r>
    </w:p>
    <w:p>
      <w:pPr>
        <w:spacing w:after="80"/>
      </w:pPr>
      <w:r>
        <w:rPr>
          <w:rFonts w:ascii="Calibri" w:cs="Calibri" w:eastAsia="Calibri" w:hAnsi="Calibri"/>
          <w:sz w:val="19"/>
          <w:szCs w:val="19"/>
        </w:rPr>
        <w:t xml:space="preserve">Document: Holdings_Current_Architecture_Working_Foundation_2026-08-12.docx (locked).</w:t>
      </w:r>
    </w:p>
    <w:p>
      <w:pPr>
        <w:spacing w:after="80"/>
      </w:pPr>
      <w:r>
        <w:rPr>
          <w:rFonts w:ascii="Calibri" w:cs="Calibri" w:eastAsia="Calibri" w:hAnsi="Calibri"/>
          <w:sz w:val="19"/>
          <w:szCs w:val="19"/>
        </w:rPr>
        <w:t xml:space="preserve">Purpose: Finished reference for what the Holdings tab does, the business processes it supports (including new lot purchases), the data required, CRF cost-basis rules, and the frozen lot counts the new system will load. Not a specification to rebuild the 136-column spreadsheet.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1. Frozen Lot Counts (Working Foundation)</w:t>
      </w:r>
    </w:p>
    <w:p>
      <w:pPr>
        <w:spacing w:after="80"/>
      </w:pPr>
      <w:r>
        <w:rPr>
          <w:rFonts w:ascii="Calibri" w:cs="Calibri" w:eastAsia="Calibri" w:hAnsi="Calibri"/>
          <w:sz w:val="19"/>
          <w:szCs w:val="19"/>
        </w:rPr>
        <w:t xml:space="preserve">Per user decision 12 Aug 2026: Template_Lots.xlsx is the working foundation. Live Holdings remains the historical spreadsheet source. The +11 open-row difference is unresolved and will be addressed in a future true-up; it does not block this baseline.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240"/>
        <w:gridCol w:w="2240"/>
        <w:gridCol w:w="2240"/>
      </w:tblGrid>
      <w:tr>
        <w:trPr>
          <w:tblHeader/>
        </w:trPr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Metric</w:t>
            </w:r>
          </w:p>
        </w:tc>
        <w:tc>
          <w:tcPr>
            <w:tcW w:type="dxa" w:w="2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Value</w:t>
            </w:r>
          </w:p>
        </w:tc>
        <w:tc>
          <w:tcPr>
            <w:tcW w:type="dxa" w:w="2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Source</w:t>
            </w:r>
          </w:p>
        </w:tc>
        <w:tc>
          <w:tcPr>
            <w:tcW w:type="dxa" w:w="2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Status</w:t>
            </w:r>
          </w:p>
        </w:tc>
      </w:tr>
      <w:tr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Template_Lots total rows</w:t>
            </w:r>
          </w:p>
        </w:tc>
        <w:tc>
          <w:tcPr>
            <w:tcW w:type="dxa" w:w="2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1,679</w:t>
            </w:r>
          </w:p>
        </w:tc>
        <w:tc>
          <w:tcPr>
            <w:tcW w:type="dxa" w:w="2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Template_Lots.xlsx / Data</w:t>
            </w:r>
          </w:p>
        </w:tc>
        <w:tc>
          <w:tcPr>
            <w:tcW w:type="dxa" w:w="2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FROZEN</w:t>
            </w:r>
          </w:p>
        </w:tc>
      </w:tr>
      <w:tr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Open (is_open = TRUE)</w:t>
            </w:r>
          </w:p>
        </w:tc>
        <w:tc>
          <w:tcPr>
            <w:tcW w:type="dxa" w:w="2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1,250</w:t>
            </w:r>
          </w:p>
        </w:tc>
        <w:tc>
          <w:tcPr>
            <w:tcW w:type="dxa" w:w="2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Template_Lots.xlsx / Data</w:t>
            </w:r>
          </w:p>
        </w:tc>
        <w:tc>
          <w:tcPr>
            <w:tcW w:type="dxa" w:w="2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FROZEN</w:t>
            </w:r>
          </w:p>
        </w:tc>
      </w:tr>
      <w:tr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Closed retained</w:t>
            </w:r>
          </w:p>
        </w:tc>
        <w:tc>
          <w:tcPr>
            <w:tcW w:type="dxa" w:w="2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429</w:t>
            </w:r>
          </w:p>
        </w:tc>
        <w:tc>
          <w:tcPr>
            <w:tcW w:type="dxa" w:w="2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Template_Lots.xlsx / Data</w:t>
            </w:r>
          </w:p>
        </w:tc>
        <w:tc>
          <w:tcPr>
            <w:tcW w:type="dxa" w:w="2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FROZEN</w:t>
            </w:r>
          </w:p>
        </w:tc>
      </w:tr>
      <w:tr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Live Holdings qty &gt; 0</w:t>
            </w:r>
          </w:p>
        </w:tc>
        <w:tc>
          <w:tcPr>
            <w:tcW w:type="dxa" w:w="2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1,239</w:t>
            </w:r>
          </w:p>
        </w:tc>
        <w:tc>
          <w:tcPr>
            <w:tcW w:type="dxa" w:w="2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2026-tracking .xlsb / Holdings</w:t>
            </w:r>
          </w:p>
        </w:tc>
        <w:tc>
          <w:tcPr>
            <w:tcW w:type="dxa" w:w="2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Observed</w:t>
            </w:r>
          </w:p>
        </w:tc>
      </w:tr>
      <w:tr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Open delta (template − live)</w:t>
            </w:r>
          </w:p>
        </w:tc>
        <w:tc>
          <w:tcPr>
            <w:tcW w:type="dxa" w:w="2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+11</w:t>
            </w:r>
          </w:p>
        </w:tc>
        <w:tc>
          <w:tcPr>
            <w:tcW w:type="dxa" w:w="2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Comparison 12 Aug 2026</w:t>
            </w:r>
          </w:p>
        </w:tc>
        <w:tc>
          <w:tcPr>
            <w:tcW w:type="dxa" w:w="2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Future true-up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19"/>
          <w:szCs w:val="19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Open lots by account (Template_Lots — sums to 1,250)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680"/>
        <w:gridCol w:w="2520"/>
        <w:gridCol w:w="1680"/>
        <w:gridCol w:w="1680"/>
      </w:tblGrid>
      <w:tr>
        <w:trPr>
          <w:tblHeader/>
        </w:trPr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Account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Open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Account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Open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Income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734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FI Roth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147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Car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105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Speculation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100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Health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98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9 (Schwab)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56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Robinhood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9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ENERGYX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Σ 1,250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19"/>
          <w:szCs w:val="19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Live vs template open delta (future true-up)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Income +5 · FI Roth +9 · Car 0 · Speculation −2 · Health −1 · 9 / Robinhood / ENERGYX 0 · Net +11.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 Embedded Lot Data Summary</w:t>
      </w:r>
    </w:p>
    <w:p>
      <w:pPr>
        <w:spacing w:after="80"/>
      </w:pPr>
      <w:r>
        <w:rPr>
          <w:rFonts w:ascii="Calibri" w:cs="Calibri" w:eastAsia="Calibri" w:hAnsi="Calibri"/>
          <w:sz w:val="19"/>
          <w:szCs w:val="19"/>
        </w:rPr>
        <w:t xml:space="preserve">The authoritative lot file is Template_Lots.xlsx in the project artifacts folder (1,679 rows). Full row-level data is not pasted into this Word document (size and maintainability). The following is the embedded working summary used by this baseline: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Field dictionary: account_name, symbol, purchase_date, quantity, unit_cost_original, unit_cost_tax, is_open, notes.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Frozen open count 1,250 and account breakdown (§1).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Dual-cost open: 136 lots with unit_cost_original ≠ unit_cost_tax (Car 74, Health 51, FI Roth 11).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Cash lots (open): Income SPAXX 5,972.07; Car SPAXX 5,427.16; Health FDRXX 281.45; FI Roth SPAXX 65.77; 9 SWVXX 10,000; Speculation SPAXX 8.96.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CRF open lots: 79 total (Income 36, FI Roth 26, Car 10, Health 7) — cost-basis detail in §3.</w:t>
      </w:r>
    </w:p>
    <w:p>
      <w:pPr>
        <w:spacing w:after="80"/>
      </w:pPr>
      <w:r>
        <w:rPr>
          <w:rFonts w:ascii="Calibri" w:cs="Calibri" w:eastAsia="Calibri" w:hAnsi="Calibri"/>
          <w:sz w:val="19"/>
          <w:szCs w:val="19"/>
        </w:rPr>
        <w:t xml:space="preserve">Application load uses Template_Lots.xlsx directly. This document binds the process baseline to those frozen counts.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 CRF Cost Basis Rules</w:t>
      </w:r>
    </w:p>
    <w:p>
      <w:pPr>
        <w:spacing w:after="80"/>
      </w:pPr>
      <w:r>
        <w:rPr>
          <w:rFonts w:ascii="Calibri" w:cs="Calibri" w:eastAsia="Calibri" w:hAnsi="Calibri"/>
          <w:sz w:val="19"/>
          <w:szCs w:val="19"/>
        </w:rPr>
        <w:t xml:space="preserve">CRF is held across Income, FI Roth, Car, and Health. Open CRF lots = 79.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680"/>
        <w:gridCol w:w="4200"/>
      </w:tblGrid>
      <w:tr>
        <w:trPr>
          <w:tblHeader/>
        </w:trP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Pattern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Count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Treatment</w:t>
            </w:r>
          </w:p>
        </w:tc>
      </w:tr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Both unit_cost_original and unit_cost_tax &gt; 0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61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Valid dual-cost — normal performance and tax use</w:t>
            </w:r>
          </w:p>
        </w:tc>
      </w:tr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unit_cost_tax = 0 and unit_cost_original &gt; 0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Valid dual-cost DRIP pattern — $0 tax basis allowed; economic basis preserved on original</w:t>
            </w:r>
          </w:p>
        </w:tc>
      </w:tr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Both costs = 0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16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Data-quality exception — P&amp;L% and YOC invalid until economic cost backfilled or marked exception (12 FI Roth CRF, 4 Income CRF)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19"/>
          <w:szCs w:val="19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sz w:val="19"/>
          <w:szCs w:val="19"/>
        </w:rPr>
        <w:t xml:space="preserve">Rule: A CRF (or other DRIP) lot may validly have unit_cost_tax = 0 when the broker reports $0 basis, provided unit_cost_original carries the economic cost (reinvested dividend value or execution price). Both costs at zero is not a valid dual-cost state for performance metrics.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4. Current Architecture of the Holdings Tab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4.1 Role</w:t>
      </w:r>
    </w:p>
    <w:p>
      <w:pPr>
        <w:spacing w:after="80"/>
      </w:pPr>
      <w:r>
        <w:rPr>
          <w:rFonts w:ascii="Calibri" w:cs="Calibri" w:eastAsia="Calibri" w:hAnsi="Calibri"/>
          <w:sz w:val="19"/>
          <w:szCs w:val="19"/>
        </w:rPr>
        <w:t xml:space="preserve">Holdings is the primary lot-level ownership view. It mixes true ownership facts, denormalized symbol-level planning attributes, derived performance metrics, and a large monthly/weekly planning matrix. Closed lots are filtered from the live view; Template_Lots retains them with is_open = FALSE.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4.2 Column groups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Identity: Account, Symbol, Date Purchased, Quantity, Unit cost per Purchase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Cost &amp; market: Total Invested cost, Current Market price, Total Market value, P&amp;L $, P&amp;L 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Planning attributes: Type, Divi per, Periods, Annual %, Annual Dividend per share/Total, TVAL, Group, Dividend Per Period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Monthly normalization: January … December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Weekly planning matrix: ~100 dated columns spanning 2025–2026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4.3 Core formulas (observed)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Total Invested cost = Quantity × Unit cost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Current Market price = INDEX/MATCH on Last Price via OFFSET(Holdings,…) — fragile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MV / P&amp;L derived (unrealized)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Divi per (Plan) = INDEX/MATCH into Dividend_History Plan column — symbol-level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Annual % on sheet = annual div per share ÷ current price → forward distribution yield (not YOC)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legacy_tval = P&amp;L% + Annual% (current Holdings formula only; TVAL 2.1 is a separate open item)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Periods: 52 (Weekly), 12, 4. Normalized annual planning uses 52 for weekly payers.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4.4 Dependencies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Upstream: </w:t>
      </w:r>
      <w:r>
        <w:rPr>
          <w:rFonts w:ascii="Calibri" w:cs="Calibri" w:eastAsia="Calibri" w:hAnsi="Calibri"/>
          <w:sz w:val="19"/>
          <w:szCs w:val="19"/>
        </w:rPr>
        <w:t xml:space="preserve">Last Price, Calculator / Dividend_History (Plan), Position Details.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Downstream: </w:t>
      </w:r>
      <w:r>
        <w:rPr>
          <w:rFonts w:ascii="Calibri" w:cs="Calibri" w:eastAsia="Calibri" w:hAnsi="Calibri"/>
          <w:sz w:val="19"/>
          <w:szCs w:val="19"/>
        </w:rPr>
        <w:t xml:space="preserve">Income Plan / Forecast, Dashboard, Allocations, Trends &amp; Burndown.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5. Business Process Inventory</w:t>
      </w:r>
    </w:p>
    <w:p>
      <w:pPr>
        <w:spacing w:after="80"/>
      </w:pPr>
      <w:r>
        <w:rPr>
          <w:rFonts w:ascii="Calibri" w:cs="Calibri" w:eastAsia="Calibri" w:hAnsi="Calibri"/>
          <w:sz w:val="19"/>
          <w:szCs w:val="19"/>
        </w:rPr>
        <w:t xml:space="preserve">The Holdings tab participates in the processes below. The target system supports these with clean data and calculated views — not by recreating 136 spreadsheet columns.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BP-01  Lot ownership visibility and reconciliation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Purpose: </w:t>
      </w:r>
      <w:r>
        <w:rPr>
          <w:rFonts w:ascii="Calibri" w:cs="Calibri" w:eastAsia="Calibri" w:hAnsi="Calibri"/>
          <w:sz w:val="19"/>
          <w:szCs w:val="19"/>
        </w:rPr>
        <w:t xml:space="preserve">Know what is owned, account, purchase date, remaining quantity, and cost basis.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Working data: Template_Lots (1,250 open). Target: Lot entity with dual-cost; stable lot_id, account_id, position_id proposed.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BP-02  Market value and unrealized P&amp;L monitoring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Purpose: </w:t>
      </w:r>
      <w:r>
        <w:rPr>
          <w:rFonts w:ascii="Calibri" w:cs="Calibri" w:eastAsia="Calibri" w:hAnsi="Calibri"/>
          <w:sz w:val="19"/>
          <w:szCs w:val="19"/>
        </w:rPr>
        <w:t xml:space="preserve">Current market value and unrealized P&amp;L for decision support.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Unrealized = market vs cost. Realized P&amp;L belongs in the Investment Activity Ledger / disposal records.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Target: calculated metrics from Lot × price service.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BP-03A  Saturday planned-payment verification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Purpose: </w:t>
      </w:r>
      <w:r>
        <w:rPr>
          <w:rFonts w:ascii="Calibri" w:cs="Calibri" w:eastAsia="Calibri" w:hAnsi="Calibri"/>
          <w:sz w:val="19"/>
          <w:szCs w:val="19"/>
        </w:rPr>
        <w:t xml:space="preserve">Verify planned payments for the Saturday–Friday business week beginning that day.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Canonical week Saturday–Friday. Symbols verified one at a time; all affected accounts/rows updated completely.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Future plans may be corrected; completed weeks never retroactively re-planned.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Holiday-shifted payments attributed to the established planned week.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Holdings shows planned amounts only — not the authoritative actual ledger.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BP-03B  Friday actual closeout and variance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Purpose: </w:t>
      </w:r>
      <w:r>
        <w:rPr>
          <w:rFonts w:ascii="Calibri" w:cs="Calibri" w:eastAsia="Calibri" w:hAnsi="Calibri"/>
          <w:sz w:val="19"/>
          <w:szCs w:val="19"/>
        </w:rPr>
        <w:t xml:space="preserve">Record actual dividends, compute planned-vs-actual variance, close the week.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Broker evidence required (Today-New / Schwab statement workflow). Closeout all-or-nothing.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Variance retained by symbol and account; historical values not overwritten when Plan later changes.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Activity type = Dividend. Actuals live in the Investment Activity Ledger.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Closeout includes Income Plan comparison by account and Weekly Burndown update from planned to actual.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Target: explicit linkage from each actual payment to its planned payment event.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BP-04  Income planning and monthly figures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Purpose: </w:t>
      </w:r>
      <w:r>
        <w:rPr>
          <w:rFonts w:ascii="Calibri" w:cs="Calibri" w:eastAsia="Calibri" w:hAnsi="Calibri"/>
          <w:sz w:val="19"/>
          <w:szCs w:val="19"/>
        </w:rPr>
        <w:t xml:space="preserve">Monthly planned-income figures for Dashboard and Income Plan / Burndown.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Two outputs: (a) normalized monthly run-rate; (b) calendar-month cash forecast in planned/scheduled payment months.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BP-05  Performance scoring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Purpose: </w:t>
      </w:r>
      <w:r>
        <w:rPr>
          <w:rFonts w:ascii="Calibri" w:cs="Calibri" w:eastAsia="Calibri" w:hAnsi="Calibri"/>
          <w:sz w:val="19"/>
          <w:szCs w:val="19"/>
        </w:rPr>
        <w:t xml:space="preserve">Rank holdings by unrealized price performance and expected income yield.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legacy_tval = P&amp;L% + forward distribution yield.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YOC = annual div per share ÷ unit_cost_original only. Tax-basis yield is a different metric.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TVAL 2.1 remains a separate open design item.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BP-06  Cash position maintenance (Saturday)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Purpose: </w:t>
      </w:r>
      <w:r>
        <w:rPr>
          <w:rFonts w:ascii="Calibri" w:cs="Calibri" w:eastAsia="Calibri" w:hAnsi="Calibri"/>
          <w:sz w:val="19"/>
          <w:szCs w:val="19"/>
        </w:rPr>
        <w:t xml:space="preserve">Keep cash balances accurate for interest, liquidity, min-balance, Burndown.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Cash as ordinary lots (SPAXX / FDRXX / SWVXX). Target: single true-up. Lot vs snapshot decision still open.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BP-07  New lot purchase / acquisition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Purpose: </w:t>
      </w:r>
      <w:r>
        <w:rPr>
          <w:rFonts w:ascii="Calibri" w:cs="Calibri" w:eastAsia="Calibri" w:hAnsi="Calibri"/>
          <w:sz w:val="19"/>
          <w:szCs w:val="19"/>
        </w:rPr>
        <w:t xml:space="preserve">Record a new open lot when shares are purchased (cash buy, transfer-in, or other non-DRIP acquisition).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Creates a new Lot row: account, symbol, purchase_date, quantity, unit_cost_original = unit_cost_tax = purchase price (unless a known adjustment applies).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is_open = TRUE. Links to an acquisition event in the Investment Activity Ledger.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Current spreadsheet process: manual row add (or import) on Holdings; quantity and unit cost entered; Plan/Type/Periods denormalized from symbol master.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Target: transaction intake creates the Lot and the acquisition event together; dual-cost initialized from purchase price; Position attributes joined, not copied.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Distinct from BP-08 (sale) and BP-10 (DRIP).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BP-08  Partial sale / lot consumption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Purpose: </w:t>
      </w:r>
      <w:r>
        <w:rPr>
          <w:rFonts w:ascii="Calibri" w:cs="Calibri" w:eastAsia="Calibri" w:hAnsi="Calibri"/>
          <w:sz w:val="19"/>
          <w:szCs w:val="19"/>
        </w:rPr>
        <w:t xml:space="preserve">Consume lots on sale while preserving history and cost-basis integrity.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Target: persist original acquisition quantity and disposal/lot-allocation records; derive remaining quantity and open/closed status.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Disposal records link to the Investment Activity Ledger.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Tax-lot relief order requires rationale, taxable-account applicability only, broker alignment, overrides, and approval — not locked; does not auto-apply to retirement accounts.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BP-09  Closed-lot history retention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Purpose: </w:t>
      </w:r>
      <w:r>
        <w:rPr>
          <w:rFonts w:ascii="Calibri" w:cs="Calibri" w:eastAsia="Calibri" w:hAnsi="Calibri"/>
          <w:sz w:val="19"/>
          <w:szCs w:val="19"/>
        </w:rPr>
        <w:t xml:space="preserve">Retain history for audit, true-up, and original-cost recovery.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Template_Lots retains 429 closed rows. Target open/closed derived from remaining quantity.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BP-10  DRIP lot creation and tracking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Purpose: </w:t>
      </w:r>
      <w:r>
        <w:rPr>
          <w:rFonts w:ascii="Calibri" w:cs="Calibri" w:eastAsia="Calibri" w:hAnsi="Calibri"/>
          <w:sz w:val="19"/>
          <w:szCs w:val="19"/>
        </w:rPr>
        <w:t xml:space="preserve">Record shares acquired via dividend reinvestment; preserve economic cost; allow $0 tax basis where the broker reports 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Pilot: CRF in FI Roth (also present in other accounts).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Valid pattern: unit_cost_tax = 0 with unit_cost_original &gt; 0 (economic basis preserved).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Invalid for performance until fixed: both costs = 0 (16 open lots — see §3).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Target: one dividend activity event + one lot acquisition, without double-counting.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6. Data Elements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6.1 Lot (Template_Lots — working foundation)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account_name, symbol, purchase_date, quantity, unit_cost_original, unit_cost_tax, is_open, notes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Proposed: lot_id, original_quantity, acquisition event / broker lot id / import batch / source / timestamps, disposal links; account_id, position_id.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Target: remaining quantity and open status are derived.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6.2 Position attributes (joined)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payment_frequency, current_plan_per_share, risk_tier, ROC fields, provider, underlying, is_active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Live Type field overloads multiple concepts — decomposition required at implementation.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6.3 Derived metrics (never stored)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Economic cost / tax cost; market value; unrealized P&amp;L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Forward distribution yield; YOC (on original cost only)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legacy_tval; normalized monthly run-rate; calendar-month planned cash forecast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6.4 Dual-cost model (locked)</w:t>
      </w:r>
    </w:p>
    <w:p>
      <w:pPr>
        <w:spacing w:after="80"/>
      </w:pPr>
      <w:r>
        <w:rPr>
          <w:rFonts w:ascii="Calibri" w:cs="Calibri" w:eastAsia="Calibri" w:hAnsi="Calibri"/>
          <w:sz w:val="19"/>
          <w:szCs w:val="19"/>
        </w:rPr>
        <w:t xml:space="preserve">unit_cost_original = economic / performance basis. unit_cost_tax = broker / tax basis. Performance uses original; Car tax estimates use tax. At-sale true-up uses trade confirmation / realized-gain records; year-end reconciles to Form 1099-B.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6.5 ROC (Position-level)</w:t>
      </w:r>
    </w:p>
    <w:p>
      <w:pPr>
        <w:spacing w:after="80"/>
      </w:pPr>
      <w:r>
        <w:rPr>
          <w:rFonts w:ascii="Calibri" w:cs="Calibri" w:eastAsia="Calibri" w:hAnsi="Calibri"/>
          <w:sz w:val="19"/>
          <w:szCs w:val="19"/>
        </w:rPr>
        <w:t xml:space="preserve">ROC fields on Position. Per IRS Pub. 550: nondividend distributions generally reduce basis; amounts after basis reaches zero are capital gain. Estimated ROC% is planning classification, not final tax determination.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7. Current → Target Capability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520"/>
        <w:gridCol w:w="4200"/>
      </w:tblGrid>
      <w:tr>
        <w:trPr>
          <w:tblHeader/>
        </w:trPr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Current feature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Process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Target capability</w:t>
            </w:r>
          </w:p>
        </w:tc>
      </w:tr>
      <w:tr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Lot identity + unit cost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BP-01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Lot entity + dual-cost + ids</w:t>
            </w:r>
          </w:p>
        </w:tc>
      </w:tr>
      <w:tr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Price + MV / P&amp;L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BP-02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Price service + calculated unrealized metrics</w:t>
            </w:r>
          </w:p>
        </w:tc>
      </w:tr>
      <w:tr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Divi per + weekly matrix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BP-03A / 03B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Plan history + virtual checklist; actuals in Investment Activity Ledger</w:t>
            </w:r>
          </w:p>
        </w:tc>
      </w:tr>
      <w:tr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Jan–Dec columns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BP-04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Normalized run-rate AND calendar-month forecast</w:t>
            </w:r>
          </w:p>
        </w:tc>
      </w:tr>
      <w:tr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TVAL column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BP-05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legacy_tval distinct until TVAL 2.1 approved</w:t>
            </w:r>
          </w:p>
        </w:tc>
      </w:tr>
      <w:tr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Cash multi-tab edit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BP-06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Single true-up; lot and/or snapshot TBD</w:t>
            </w:r>
          </w:p>
        </w:tc>
      </w:tr>
      <w:tr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Manual new purchase row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BP-07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Transaction intake creates Lot + acquisition event</w:t>
            </w:r>
          </w:p>
        </w:tc>
      </w:tr>
      <w:tr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Qty edit on sale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BP-08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Disposal + lot-allocation; relief order TBD</w:t>
            </w:r>
          </w:p>
        </w:tc>
      </w:tr>
      <w:tr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Closed lots filtered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BP-09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Derived open/closed from remaining qty</w:t>
            </w:r>
          </w:p>
        </w:tc>
      </w:tr>
      <w:tr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Manual DRIP lots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BP-10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Linked events; valid $0 tax with economic original</w:t>
            </w:r>
          </w:p>
        </w:tc>
      </w:tr>
    </w:tbl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8. Remaining Open Items (do not block this baseline)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Future true-up of the +11 open-row difference (live 1,239 vs template 1,250).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Remediation of 16 open both-costs-zero lots (backfill economic cost or exception status).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Design and approval of disposal / lot-allocation entity.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Tax-lot relief order decision.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TVAL 2.1 / Q-column definition.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Plan history, dividend events, price observations, provenance.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Type field decomposition; lot_id / account_id / position_id.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Cash lot vs balance-snapshot decision.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Full column-by-column formula inventory for migration tests.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9. Evidence Summary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Template_Lots.xlsx — 1,679 / 1,250 open / account breakdown / dual-cost 136 / CRF patterns — queried 11–12 Aug 2026.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2026-tracking spreadsheet.xlsb Holdings — qty &gt; 0 = 1,239 — queried 11–12 Aug 2026.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Formulas — Holdings via LibreOffice conversion, 11 Aug 2026.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Dual-cost design — Lot_Dual_Cost_Basis_Design_Locked.docx (5 Aug 2026).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ROC field design — ROC_Field_Design_Locked.docx + Template_Positions (4 Aug 2026).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IRS ROC treatment — Publication 550.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10. How This Document Is Used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LOCKED completed working foundation for the Holdings / Lot domain.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Business processes BP-01…BP-10 are the functional capabilities the new system must support.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Lot load uses Template_Lots 1,250 open (and 429 closed if history is loaded). Future true-up may adjust the open set.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Do not rebuild the spreadsheet. Implement the processes with a single source of truth, calculated views, and the locked dual-cost / ROC designs.</w:t>
      </w:r>
    </w:p>
    <w:p>
      <w:pPr>
        <w:spacing w:after="80"/>
      </w:pPr>
      <w:r>
        <w:rPr>
          <w:rFonts w:ascii="Calibri" w:cs="Calibri" w:eastAsia="Calibri" w:hAnsi="Calibri"/>
          <w:sz w:val="19"/>
          <w:szCs w:val="19"/>
        </w:rPr>
        <w:t xml:space="preserve"/>
      </w:r>
    </w:p>
    <w:p>
      <w:pPr>
        <w:spacing w:after="80"/>
        <w:rPr>
          <w:i/>
          <w:iCs/>
          <w:sz w:val="15"/>
          <w:szCs w:val="15"/>
        </w:rPr>
      </w:pPr>
      <w:r>
        <w:rPr>
          <w:rFonts w:ascii="Calibri" w:cs="Calibri" w:eastAsia="Calibri" w:hAnsi="Calibri"/>
          <w:i/>
          <w:iCs/>
          <w:sz w:val="15"/>
          <w:szCs w:val="15"/>
        </w:rPr>
        <w:t xml:space="preserve">LOCKED 2026-08-12. Counts frozen to Template_Lots 1,250 open. Includes BP-07 New lot purchase, CRF cost-basis rules (§3), and embedded lot data summary (§2). Supersedes prior drafts for process and count baseline purposes.</w:t>
      </w:r>
    </w:p>
    <w:sectPr>
      <w:headerReference w:type="default" r:id="rId7"/>
      <w:footerReference w:type="default" r:id="rId8"/>
      <w:pgSz w:w="12240" w:h="15840" w:orient="portrait"/>
      <w:pgMar w:top="720" w:right="720" w:bottom="864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4"/>
        <w:szCs w:val="14"/>
      </w:rPr>
      <w:t xml:space="preserve">Page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sz w:val="14"/>
        <w:szCs w:val="14"/>
      </w:rPr>
      <w:t xml:space="preserve"> of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1F4E79"/>
        <w:sz w:val="13"/>
        <w:szCs w:val="13"/>
      </w:rPr>
      <w:t xml:space="preserve">  ·  LOCKED completed work  ·  Template_Lots 1,250 open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</w:pPr>
    <w:r>
      <w:rPr>
        <w:rFonts w:ascii="Calibri" w:cs="Calibri" w:eastAsia="Calibri" w:hAnsi="Calibri"/>
        <w:i/>
        <w:iCs/>
        <w:color w:val="555555"/>
        <w:sz w:val="14"/>
        <w:szCs w:val="14"/>
      </w:rPr>
      <w:t xml:space="preserve">Holdings Tab — Current Architecture &amp; Business Process Inventory  ·  LOCKED  ·  2026-08-12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○"/>
      <w:lvlJc w:val="left"/>
      <w:pPr>
        <w:ind w:left="72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2026-08-12T12:29:08.038Z</dcterms:created>
  <dcterms:modified xsi:type="dcterms:W3CDTF">2026-08-12T12:29:08.039Z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