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0B2545"/>
          <w:sz w:val="46"/>
        </w:rPr>
        <w:t>ROI AND INVESTMENT ACTIVITY LEDGER</w:t>
      </w:r>
    </w:p>
    <w:p>
      <w:pPr>
        <w:pStyle w:val="Subtitle"/>
      </w:pPr>
      <w:r>
        <w:rPr>
          <w:rFonts w:ascii="Calibri" w:hAnsi="Calibri"/>
          <w:b w:val="0"/>
          <w:i w:val="0"/>
          <w:color w:val="5B6573"/>
          <w:sz w:val="26"/>
        </w:rPr>
        <w:t>Current Architecture, Business Process and Complete Target Requirements</w:t>
      </w:r>
    </w:p>
    <w:p>
      <w:pPr>
        <w:spacing w:after="40"/>
      </w:pPr>
      <w:r>
        <w:rPr>
          <w:rFonts w:ascii="Calibri" w:hAnsi="Calibri"/>
          <w:b/>
          <w:i w:val="0"/>
          <w:color w:val="0B2545"/>
          <w:sz w:val="22"/>
        </w:rPr>
        <w:t xml:space="preserve">Status: </w:t>
      </w:r>
      <w:r>
        <w:rPr>
          <w:rFonts w:ascii="Calibri" w:hAnsi="Calibri"/>
          <w:b w:val="0"/>
          <w:i w:val="0"/>
          <w:color w:val="0B2545"/>
          <w:sz w:val="22"/>
        </w:rPr>
        <w:t>DESIGN COMPLETE — approved foundation for implementation</w:t>
      </w:r>
    </w:p>
    <w:p>
      <w:pPr>
        <w:spacing w:after="40"/>
      </w:pPr>
      <w:r>
        <w:rPr>
          <w:rFonts w:ascii="Calibri" w:hAnsi="Calibri"/>
          <w:b/>
          <w:i w:val="0"/>
          <w:color w:val="0B2545"/>
          <w:sz w:val="22"/>
        </w:rPr>
        <w:t xml:space="preserve">Version: </w:t>
      </w:r>
      <w:r>
        <w:rPr>
          <w:rFonts w:ascii="Calibri" w:hAnsi="Calibri"/>
          <w:b w:val="0"/>
          <w:i w:val="0"/>
          <w:color w:val="0B2545"/>
          <w:sz w:val="22"/>
        </w:rPr>
        <w:t>1.0</w:t>
      </w:r>
    </w:p>
    <w:p>
      <w:pPr>
        <w:spacing w:after="40"/>
      </w:pPr>
      <w:r>
        <w:rPr>
          <w:rFonts w:ascii="Calibri" w:hAnsi="Calibri"/>
          <w:b/>
          <w:i w:val="0"/>
          <w:color w:val="0B2545"/>
          <w:sz w:val="22"/>
        </w:rPr>
        <w:t xml:space="preserve">Sources: </w:t>
      </w:r>
      <w:r>
        <w:rPr>
          <w:rFonts w:ascii="Calibri" w:hAnsi="Calibri"/>
          <w:b w:val="0"/>
          <w:i w:val="0"/>
          <w:color w:val="0B2545"/>
          <w:sz w:val="22"/>
        </w:rPr>
        <w:t>2026-tracking spreadseet.xlsb; ROI Tabs.docx; owner decisions through 13 August 2026</w:t>
      </w:r>
    </w:p>
    <w:p>
      <w:pPr>
        <w:spacing w:after="40"/>
      </w:pPr>
      <w:r>
        <w:rPr>
          <w:rFonts w:ascii="Calibri" w:hAnsi="Calibri"/>
          <w:b/>
          <w:i w:val="0"/>
          <w:color w:val="0B2545"/>
          <w:sz w:val="22"/>
        </w:rPr>
        <w:t xml:space="preserve">Legacy scope: </w:t>
      </w:r>
      <w:r>
        <w:rPr>
          <w:rFonts w:ascii="Calibri" w:hAnsi="Calibri"/>
          <w:b w:val="0"/>
          <w:i w:val="0"/>
          <w:color w:val="0B2545"/>
          <w:sz w:val="22"/>
        </w:rPr>
        <w:t>ROI 2024 and combined ROI 2025–2026 worksheets</w:t>
      </w:r>
    </w:p>
    <w:p>
      <w:pPr>
        <w:spacing w:after="40"/>
      </w:pPr>
      <w:r>
        <w:rPr>
          <w:rFonts w:ascii="Calibri" w:hAnsi="Calibri"/>
          <w:b/>
          <w:i w:val="0"/>
          <w:color w:val="0B2545"/>
          <w:sz w:val="22"/>
        </w:rPr>
        <w:t xml:space="preserve">Target scope: </w:t>
      </w:r>
      <w:r>
        <w:rPr>
          <w:rFonts w:ascii="Calibri" w:hAnsi="Calibri"/>
          <w:b w:val="0"/>
          <w:i w:val="0"/>
          <w:color w:val="0B2545"/>
          <w:sz w:val="22"/>
        </w:rPr>
        <w:t>Permanent multi-year ledger, transaction ingestion, lot reconciliation, symbol history and realized-performance reporting</w:t>
      </w:r>
    </w:p>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120" w:type="dxa"/>
              <w:bottom w:w="120" w:type="dxa"/>
              <w:start w:w="120" w:type="dxa"/>
              <w:end w:w="120" w:type="dxa"/>
            </w:tcMar>
            <w:shd w:fill="EAF4E2"/>
          </w:tcPr>
          <w:p>
            <w:pPr>
              <w:spacing w:after="0"/>
            </w:pPr>
            <w:r>
              <w:rPr>
                <w:rFonts w:ascii="Calibri" w:hAnsi="Calibri"/>
                <w:b/>
                <w:i w:val="0"/>
                <w:color w:val="315B24"/>
                <w:sz w:val="22"/>
              </w:rPr>
              <w:t xml:space="preserve">Design disposition: </w:t>
            </w:r>
            <w:r>
              <w:rPr>
                <w:rFonts w:ascii="Calibri" w:hAnsi="Calibri"/>
                <w:b w:val="0"/>
                <w:i w:val="0"/>
                <w:color w:val="315B24"/>
                <w:sz w:val="22"/>
              </w:rPr>
              <w:t>The ROI target architecture is complete. It preserves the spreadsheet’s historical dividend authority, replaces overloaded rows with immutable transaction events, requires broker-lot reconciliation without FIFO assumptions, consolidates renamed tickers only after approval, and maintains an auditable record of every automated or corrective action.</w:t>
            </w:r>
          </w:p>
        </w:tc>
      </w:tr>
    </w:tbl>
    <w:p>
      <w:pPr>
        <w:spacing w:after="20"/>
      </w:pPr>
    </w:p>
    <w:p>
      <w:pPr>
        <w:pStyle w:val="Heading1"/>
      </w:pPr>
      <w:r>
        <w:t>1. Business Purpose and Scope</w:t>
      </w:r>
    </w:p>
    <w:p>
      <w:r>
        <w:rPr>
          <w:rFonts w:ascii="Calibri" w:hAnsi="Calibri"/>
          <w:b w:val="0"/>
          <w:i w:val="0"/>
          <w:color w:val="0B2545"/>
          <w:sz w:val="22"/>
        </w:rPr>
        <w:t>ROI is the authoritative investment-activity history for portfolio cash payments and realized investment results. The future application must answer what each investment has paid over its lifetime, distinguish the source of that return, preserve the transaction evidence, and support current-year operational processing. It is not a household-income ledger: Social Security, employment or 1099 income, withdrawals, and general expenses remain outside this domain.</w:t>
      </w:r>
    </w:p>
    <w:p>
      <w:r>
        <w:rPr>
          <w:rFonts w:ascii="Calibri" w:hAnsi="Calibri"/>
          <w:b w:val="0"/>
          <w:i w:val="0"/>
          <w:color w:val="0B2545"/>
          <w:sz w:val="22"/>
        </w:rPr>
        <w:t>The target replaces year-specific spreadsheet tabs with one permanent Investment Activity Ledger. Transaction facts persist across years. Month, year, holding duration, and similar reporting helpers are calculated from dates rather than stored as canonical facts.</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120" w:type="dxa"/>
              <w:bottom w:w="120" w:type="dxa"/>
              <w:start w:w="120" w:type="dxa"/>
              <w:end w:w="120" w:type="dxa"/>
            </w:tcMar>
            <w:shd w:fill="E8EEF5"/>
          </w:tcPr>
          <w:p>
            <w:pPr>
              <w:spacing w:after="0"/>
            </w:pPr>
            <w:r>
              <w:rPr>
                <w:rFonts w:ascii="Calibri" w:hAnsi="Calibri"/>
                <w:b/>
                <w:i w:val="0"/>
                <w:color w:val="1F4D78"/>
                <w:sz w:val="22"/>
              </w:rPr>
              <w:t xml:space="preserve">Core outcome: </w:t>
            </w:r>
            <w:r>
              <w:rPr>
                <w:rFonts w:ascii="Calibri" w:hAnsi="Calibri"/>
                <w:b w:val="0"/>
                <w:i w:val="0"/>
                <w:color w:val="1F4D78"/>
                <w:sz w:val="22"/>
              </w:rPr>
              <w:t>For any current symbol—such as TSLL—the application can report lifetime dividends, covered-call premium, cash-secured-put premium, lot-sale realized profit/loss, and day-trade profit/loss separately and as a governed combined realized-performance total.</w:t>
            </w:r>
          </w:p>
        </w:tc>
      </w:tr>
    </w:tbl>
    <w:p>
      <w:pPr>
        <w:spacing w:after="20"/>
      </w:pPr>
    </w:p>
    <w:p>
      <w:pPr>
        <w:pStyle w:val="Heading1"/>
      </w:pPr>
      <w:r>
        <w:t>2. Reverse-Engineered Current Workbook</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cantSplit/>
        </w:trPr>
        <w:tc>
          <w:tcPr>
            <w:tcW w:type="dxa" w:w="2150"/>
            <w:shd w:fill="F2F4F7"/>
            <w:vAlign w:val="center"/>
            <w:tcMar>
              <w:top w:w="80" w:type="dxa"/>
              <w:bottom w:w="80" w:type="dxa"/>
              <w:start w:w="120" w:type="dxa"/>
              <w:end w:w="120" w:type="dxa"/>
            </w:tcMar>
          </w:tcPr>
          <w:p>
            <w:pPr>
              <w:spacing w:after="0"/>
            </w:pPr>
            <w:r>
              <w:rPr>
                <w:rFonts w:ascii="Calibri" w:hAnsi="Calibri"/>
                <w:b/>
                <w:i w:val="0"/>
                <w:color w:val="0B2545"/>
                <w:sz w:val="17"/>
              </w:rPr>
              <w:t>Area</w:t>
            </w:r>
          </w:p>
        </w:tc>
        <w:tc>
          <w:tcPr>
            <w:tcW w:type="dxa" w:w="7210"/>
            <w:shd w:fill="F2F4F7"/>
            <w:vAlign w:val="center"/>
            <w:tcMar>
              <w:top w:w="80" w:type="dxa"/>
              <w:bottom w:w="80" w:type="dxa"/>
              <w:start w:w="120" w:type="dxa"/>
              <w:end w:w="120" w:type="dxa"/>
            </w:tcMar>
          </w:tcPr>
          <w:p>
            <w:pPr>
              <w:spacing w:after="0"/>
            </w:pPr>
            <w:r>
              <w:rPr>
                <w:rFonts w:ascii="Calibri" w:hAnsi="Calibri"/>
                <w:b/>
                <w:i w:val="0"/>
                <w:color w:val="0B2545"/>
                <w:sz w:val="17"/>
              </w:rPr>
              <w:t>Verified current behavior</w:t>
            </w:r>
          </w:p>
        </w:tc>
      </w:tr>
      <w:tr>
        <w:trPr>
          <w:cantSplit/>
        </w:trPr>
        <w:tc>
          <w:tcPr>
            <w:tcW w:type="dxa" w:w="2150"/>
            <w:vAlign w:val="center"/>
            <w:tcMar>
              <w:top w:w="80" w:type="dxa"/>
              <w:bottom w:w="80" w:type="dxa"/>
              <w:start w:w="120" w:type="dxa"/>
              <w:end w:w="120" w:type="dxa"/>
            </w:tcMar>
          </w:tcPr>
          <w:p>
            <w:pPr>
              <w:spacing w:after="0" w:line="252" w:lineRule="auto"/>
            </w:pPr>
            <w:r>
              <w:rPr>
                <w:rFonts w:ascii="Calibri" w:hAnsi="Calibri"/>
                <w:b w:val="0"/>
                <w:i w:val="0"/>
                <w:color w:val="0B2545"/>
                <w:sz w:val="17"/>
              </w:rPr>
              <w:t>Worksheets</w:t>
            </w:r>
          </w:p>
        </w:tc>
        <w:tc>
          <w:tcPr>
            <w:tcW w:type="dxa" w:w="7210"/>
            <w:vAlign w:val="center"/>
            <w:tcMar>
              <w:top w:w="80" w:type="dxa"/>
              <w:bottom w:w="80" w:type="dxa"/>
              <w:start w:w="120" w:type="dxa"/>
              <w:end w:w="120" w:type="dxa"/>
            </w:tcMar>
          </w:tcPr>
          <w:p>
            <w:pPr>
              <w:spacing w:after="0" w:line="252" w:lineRule="auto"/>
            </w:pPr>
            <w:r>
              <w:rPr>
                <w:rFonts w:ascii="Calibri" w:hAnsi="Calibri"/>
                <w:b w:val="0"/>
                <w:i w:val="0"/>
                <w:color w:val="0B2545"/>
                <w:sz w:val="17"/>
              </w:rPr>
              <w:t>ROI 2024 is a prior-year ledger. ROI_2025 contains both 2025 and 2026 records, followed by summary/statistical rows that are not transactions.</w:t>
            </w:r>
          </w:p>
        </w:tc>
      </w:tr>
      <w:tr>
        <w:trPr>
          <w:cantSplit/>
        </w:trPr>
        <w:tc>
          <w:tcPr>
            <w:tcW w:type="dxa" w:w="2150"/>
            <w:vAlign w:val="center"/>
            <w:tcMar>
              <w:top w:w="80" w:type="dxa"/>
              <w:bottom w:w="80" w:type="dxa"/>
              <w:start w:w="120" w:type="dxa"/>
              <w:end w:w="120" w:type="dxa"/>
            </w:tcMar>
          </w:tcPr>
          <w:p>
            <w:pPr>
              <w:spacing w:after="0" w:line="252" w:lineRule="auto"/>
            </w:pPr>
            <w:r>
              <w:rPr>
                <w:rFonts w:ascii="Calibri" w:hAnsi="Calibri"/>
                <w:b w:val="0"/>
                <w:i w:val="0"/>
                <w:color w:val="0B2545"/>
                <w:sz w:val="17"/>
              </w:rPr>
              <w:t>Row model</w:t>
            </w:r>
          </w:p>
        </w:tc>
        <w:tc>
          <w:tcPr>
            <w:tcW w:type="dxa" w:w="7210"/>
            <w:vAlign w:val="center"/>
            <w:tcMar>
              <w:top w:w="80" w:type="dxa"/>
              <w:bottom w:w="80" w:type="dxa"/>
              <w:start w:w="120" w:type="dxa"/>
              <w:end w:w="120" w:type="dxa"/>
            </w:tcMar>
          </w:tcPr>
          <w:p>
            <w:pPr>
              <w:spacing w:after="0" w:line="252" w:lineRule="auto"/>
            </w:pPr>
            <w:r>
              <w:rPr>
                <w:rFonts w:ascii="Calibri" w:hAnsi="Calibri"/>
                <w:b w:val="0"/>
                <w:i w:val="0"/>
                <w:color w:val="0B2545"/>
                <w:sz w:val="17"/>
              </w:rPr>
              <w:t>A row is an overloaded activity record. The same columns represent dividends, option trades, short/day trades, and other realized activity differently.</w:t>
            </w:r>
          </w:p>
        </w:tc>
      </w:tr>
      <w:tr>
        <w:trPr>
          <w:cantSplit/>
        </w:trPr>
        <w:tc>
          <w:tcPr>
            <w:tcW w:type="dxa" w:w="2150"/>
            <w:vAlign w:val="center"/>
            <w:tcMar>
              <w:top w:w="80" w:type="dxa"/>
              <w:bottom w:w="80" w:type="dxa"/>
              <w:start w:w="120" w:type="dxa"/>
              <w:end w:w="120" w:type="dxa"/>
            </w:tcMar>
          </w:tcPr>
          <w:p>
            <w:pPr>
              <w:spacing w:after="0" w:line="252" w:lineRule="auto"/>
            </w:pPr>
            <w:r>
              <w:rPr>
                <w:rFonts w:ascii="Calibri" w:hAnsi="Calibri"/>
                <w:b w:val="0"/>
                <w:i w:val="0"/>
                <w:color w:val="0B2545"/>
                <w:sz w:val="17"/>
              </w:rPr>
              <w:t>Dividend pattern</w:t>
            </w:r>
          </w:p>
        </w:tc>
        <w:tc>
          <w:tcPr>
            <w:tcW w:type="dxa" w:w="7210"/>
            <w:vAlign w:val="center"/>
            <w:tcMar>
              <w:top w:w="80" w:type="dxa"/>
              <w:bottom w:w="80" w:type="dxa"/>
              <w:start w:w="120" w:type="dxa"/>
              <w:end w:w="120" w:type="dxa"/>
            </w:tcMar>
          </w:tcPr>
          <w:p>
            <w:pPr>
              <w:spacing w:after="0" w:line="252" w:lineRule="auto"/>
            </w:pPr>
            <w:r>
              <w:rPr>
                <w:rFonts w:ascii="Calibri" w:hAnsi="Calibri"/>
                <w:b w:val="0"/>
                <w:i w:val="0"/>
                <w:color w:val="0B2545"/>
                <w:sz w:val="17"/>
              </w:rPr>
              <w:t>Dividend rows use Quantity = 1 for the whole payment; Unit Sale Price, Total Sale Price, and Gross Profit hold the payment amount; Cost Basis Total is 0; purchase and sale dates are normally the paid date; Percent Change is NA.</w:t>
            </w:r>
          </w:p>
        </w:tc>
      </w:tr>
      <w:tr>
        <w:trPr>
          <w:cantSplit/>
        </w:trPr>
        <w:tc>
          <w:tcPr>
            <w:tcW w:type="dxa" w:w="2150"/>
            <w:vAlign w:val="center"/>
            <w:tcMar>
              <w:top w:w="80" w:type="dxa"/>
              <w:bottom w:w="80" w:type="dxa"/>
              <w:start w:w="120" w:type="dxa"/>
              <w:end w:w="120" w:type="dxa"/>
            </w:tcMar>
          </w:tcPr>
          <w:p>
            <w:pPr>
              <w:spacing w:after="0" w:line="252" w:lineRule="auto"/>
            </w:pPr>
            <w:r>
              <w:rPr>
                <w:rFonts w:ascii="Calibri" w:hAnsi="Calibri"/>
                <w:b w:val="0"/>
                <w:i w:val="0"/>
                <w:color w:val="0B2545"/>
                <w:sz w:val="17"/>
              </w:rPr>
              <w:t>Trade pattern</w:t>
            </w:r>
          </w:p>
        </w:tc>
        <w:tc>
          <w:tcPr>
            <w:tcW w:type="dxa" w:w="7210"/>
            <w:vAlign w:val="center"/>
            <w:tcMar>
              <w:top w:w="80" w:type="dxa"/>
              <w:bottom w:w="80" w:type="dxa"/>
              <w:start w:w="120" w:type="dxa"/>
              <w:end w:w="120" w:type="dxa"/>
            </w:tcMar>
          </w:tcPr>
          <w:p>
            <w:pPr>
              <w:spacing w:after="0" w:line="252" w:lineRule="auto"/>
            </w:pPr>
            <w:r>
              <w:rPr>
                <w:rFonts w:ascii="Calibri" w:hAnsi="Calibri"/>
                <w:b w:val="0"/>
                <w:i w:val="0"/>
                <w:color w:val="0B2545"/>
                <w:sz w:val="17"/>
              </w:rPr>
              <w:t>Trade rows use purchase/close dates, cost, proceeds, fees, gross profit, percent change, and Days Held. Day generally indicates same-day activity; Short indicates multi-day activity.</w:t>
            </w:r>
          </w:p>
        </w:tc>
      </w:tr>
      <w:tr>
        <w:trPr>
          <w:cantSplit/>
        </w:trPr>
        <w:tc>
          <w:tcPr>
            <w:tcW w:type="dxa" w:w="2150"/>
            <w:vAlign w:val="center"/>
            <w:tcMar>
              <w:top w:w="80" w:type="dxa"/>
              <w:bottom w:w="80" w:type="dxa"/>
              <w:start w:w="120" w:type="dxa"/>
              <w:end w:w="120" w:type="dxa"/>
            </w:tcMar>
          </w:tcPr>
          <w:p>
            <w:pPr>
              <w:spacing w:after="0" w:line="252" w:lineRule="auto"/>
            </w:pPr>
            <w:r>
              <w:rPr>
                <w:rFonts w:ascii="Calibri" w:hAnsi="Calibri"/>
                <w:b w:val="0"/>
                <w:i w:val="0"/>
                <w:color w:val="0B2545"/>
                <w:sz w:val="17"/>
              </w:rPr>
              <w:t>Formulas</w:t>
            </w:r>
          </w:p>
        </w:tc>
        <w:tc>
          <w:tcPr>
            <w:tcW w:type="dxa" w:w="7210"/>
            <w:vAlign w:val="center"/>
            <w:tcMar>
              <w:top w:w="80" w:type="dxa"/>
              <w:bottom w:w="80" w:type="dxa"/>
              <w:start w:w="120" w:type="dxa"/>
              <w:end w:w="120" w:type="dxa"/>
            </w:tcMar>
          </w:tcPr>
          <w:p>
            <w:pPr>
              <w:spacing w:after="0" w:line="252" w:lineRule="auto"/>
            </w:pPr>
            <w:r>
              <w:rPr>
                <w:rFonts w:ascii="Calibri" w:hAnsi="Calibri"/>
                <w:b w:val="0"/>
                <w:i w:val="0"/>
                <w:color w:val="0B2545"/>
                <w:sz w:val="17"/>
              </w:rPr>
              <w:t>Cost Basis Total, Total Sale Price, Gross Profit, Percent Change, Days Held, month, year, years held, and month number are formula-derived or helper values.</w:t>
            </w:r>
          </w:p>
        </w:tc>
      </w:tr>
      <w:tr>
        <w:trPr>
          <w:cantSplit/>
        </w:trPr>
        <w:tc>
          <w:tcPr>
            <w:tcW w:type="dxa" w:w="2150"/>
            <w:vAlign w:val="center"/>
            <w:tcMar>
              <w:top w:w="80" w:type="dxa"/>
              <w:bottom w:w="80" w:type="dxa"/>
              <w:start w:w="120" w:type="dxa"/>
              <w:end w:w="120" w:type="dxa"/>
            </w:tcMar>
          </w:tcPr>
          <w:p>
            <w:pPr>
              <w:spacing w:after="0" w:line="252" w:lineRule="auto"/>
            </w:pPr>
            <w:r>
              <w:rPr>
                <w:rFonts w:ascii="Calibri" w:hAnsi="Calibri"/>
                <w:b w:val="0"/>
                <w:i w:val="0"/>
                <w:color w:val="0B2545"/>
                <w:sz w:val="17"/>
              </w:rPr>
              <w:t>Historical purpose</w:t>
            </w:r>
          </w:p>
        </w:tc>
        <w:tc>
          <w:tcPr>
            <w:tcW w:type="dxa" w:w="7210"/>
            <w:vAlign w:val="center"/>
            <w:tcMar>
              <w:top w:w="80" w:type="dxa"/>
              <w:bottom w:w="80" w:type="dxa"/>
              <w:start w:w="120" w:type="dxa"/>
              <w:end w:w="120" w:type="dxa"/>
            </w:tcMar>
          </w:tcPr>
          <w:p>
            <w:pPr>
              <w:spacing w:after="0" w:line="252" w:lineRule="auto"/>
            </w:pPr>
            <w:r>
              <w:rPr>
                <w:rFonts w:ascii="Calibri" w:hAnsi="Calibri"/>
                <w:b w:val="0"/>
                <w:i w:val="0"/>
                <w:color w:val="0B2545"/>
                <w:sz w:val="17"/>
              </w:rPr>
              <w:t>Dividend history supplies total-paid-by-symbol and realized-return inputs used by Calculator and portfolio analysis.</w:t>
            </w:r>
          </w:p>
        </w:tc>
      </w:tr>
      <w:tr>
        <w:trPr>
          <w:cantSplit/>
        </w:trPr>
        <w:tc>
          <w:tcPr>
            <w:tcW w:type="dxa" w:w="2150"/>
            <w:vAlign w:val="center"/>
            <w:tcMar>
              <w:top w:w="80" w:type="dxa"/>
              <w:bottom w:w="80" w:type="dxa"/>
              <w:start w:w="120" w:type="dxa"/>
              <w:end w:w="120" w:type="dxa"/>
            </w:tcMar>
          </w:tcPr>
          <w:p>
            <w:pPr>
              <w:spacing w:after="0" w:line="252" w:lineRule="auto"/>
            </w:pPr>
            <w:r>
              <w:rPr>
                <w:rFonts w:ascii="Calibri" w:hAnsi="Calibri"/>
                <w:b w:val="0"/>
                <w:i w:val="0"/>
                <w:color w:val="0B2545"/>
                <w:sz w:val="17"/>
              </w:rPr>
              <w:t>Authority boundary</w:t>
            </w:r>
          </w:p>
        </w:tc>
        <w:tc>
          <w:tcPr>
            <w:tcW w:type="dxa" w:w="7210"/>
            <w:vAlign w:val="center"/>
            <w:tcMar>
              <w:top w:w="80" w:type="dxa"/>
              <w:bottom w:w="80" w:type="dxa"/>
              <w:start w:w="120" w:type="dxa"/>
              <w:end w:w="120" w:type="dxa"/>
            </w:tcMar>
          </w:tcPr>
          <w:p>
            <w:pPr>
              <w:spacing w:after="0" w:line="252" w:lineRule="auto"/>
            </w:pPr>
            <w:r>
              <w:rPr>
                <w:rFonts w:ascii="Calibri" w:hAnsi="Calibri"/>
                <w:b w:val="0"/>
                <w:i w:val="0"/>
                <w:color w:val="0B2545"/>
                <w:sz w:val="17"/>
              </w:rPr>
              <w:t>Portfolio dividends and realized investment activity belong here. SSA, 1099 work income, transfers, withdrawals, and expenses do not.</w:t>
            </w:r>
          </w:p>
        </w:tc>
      </w:tr>
    </w:tbl>
    <w:p>
      <w:pPr>
        <w:spacing w:after="20"/>
      </w:pPr>
    </w:p>
    <w:p>
      <w:pPr>
        <w:pStyle w:val="Heading2"/>
      </w:pPr>
      <w:r>
        <w:t>2.1 Legacy column inventory</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cantSplit/>
        </w:trPr>
        <w:tc>
          <w:tcPr>
            <w:tcW w:type="dxa" w:w="1900"/>
            <w:shd w:fill="F2F4F7"/>
            <w:vAlign w:val="center"/>
            <w:tcMar>
              <w:top w:w="80" w:type="dxa"/>
              <w:bottom w:w="80" w:type="dxa"/>
              <w:start w:w="120" w:type="dxa"/>
              <w:end w:w="120" w:type="dxa"/>
            </w:tcMar>
          </w:tcPr>
          <w:p>
            <w:pPr>
              <w:spacing w:after="0"/>
            </w:pPr>
            <w:r>
              <w:rPr>
                <w:rFonts w:ascii="Calibri" w:hAnsi="Calibri"/>
                <w:b/>
                <w:i w:val="0"/>
                <w:color w:val="0B2545"/>
                <w:sz w:val="15"/>
              </w:rPr>
              <w:t>Legacy field</w:t>
            </w:r>
          </w:p>
        </w:tc>
        <w:tc>
          <w:tcPr>
            <w:tcW w:type="dxa" w:w="3300"/>
            <w:shd w:fill="F2F4F7"/>
            <w:vAlign w:val="center"/>
            <w:tcMar>
              <w:top w:w="80" w:type="dxa"/>
              <w:bottom w:w="80" w:type="dxa"/>
              <w:start w:w="120" w:type="dxa"/>
              <w:end w:w="120" w:type="dxa"/>
            </w:tcMar>
          </w:tcPr>
          <w:p>
            <w:pPr>
              <w:spacing w:after="0"/>
            </w:pPr>
            <w:r>
              <w:rPr>
                <w:rFonts w:ascii="Calibri" w:hAnsi="Calibri"/>
                <w:b/>
                <w:i w:val="0"/>
                <w:color w:val="0B2545"/>
                <w:sz w:val="15"/>
              </w:rPr>
              <w:t>Current meaning</w:t>
            </w:r>
          </w:p>
        </w:tc>
        <w:tc>
          <w:tcPr>
            <w:tcW w:type="dxa" w:w="4160"/>
            <w:shd w:fill="F2F4F7"/>
            <w:vAlign w:val="center"/>
            <w:tcMar>
              <w:top w:w="80" w:type="dxa"/>
              <w:bottom w:w="80" w:type="dxa"/>
              <w:start w:w="120" w:type="dxa"/>
              <w:end w:w="120" w:type="dxa"/>
            </w:tcMar>
          </w:tcPr>
          <w:p>
            <w:pPr>
              <w:spacing w:after="0"/>
            </w:pPr>
            <w:r>
              <w:rPr>
                <w:rFonts w:ascii="Calibri" w:hAnsi="Calibri"/>
                <w:b/>
                <w:i w:val="0"/>
                <w:color w:val="0B2545"/>
                <w:sz w:val="15"/>
              </w:rPr>
              <w:t>Target treatment</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Account</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Account text</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Resolve to account_id; retain imported text.</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Symbol</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Ticker at time of entry</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Preserve original_symbol; resolve to stable investment_id and current symbol.</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Notes</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Dividend/Call/Put/roll description</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Preserve source_description; classify through activity type.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Date Purchased</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Open date or dividend paid date</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Map by activity type to trade/open date or paid date.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Quantity</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Trade quantity; dividend convention is 1</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Typed quantity where meaningful; no fictional quantity for dividend cash.</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Cost Basis Per Share</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Unit cost/open premium</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Imported unit basis/premium; validate by activity type.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Unit Sale Price</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Unit proceeds or entire dividend payment</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Map to unit proceeds only for trades; dividend amount maps to net cash.</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Cost Basis Total</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Formula-derived total cost</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Derive from matched lot/event facts; preserve imported value for migration audit.</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Date Sold</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Close date or dividend paid date</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Map to close/event/paid date by activity type.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Total Sale Price</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Proceeds or entire dividend payment</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Trade proceeds or dividend net amount; never combine meanings in storage.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Round trip trade cost</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Commission/fees</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Store explicit fee amount and source.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Gross Profit</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Formula-derived P/L or dividend amount</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Derive realized P/L for trades; dividend amount remains distribution income.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Percent Change</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Gross Profit divided by cost; NA for dividends</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Derived reporting metric; not canonical transaction data.</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Flag</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Legacy activity classification</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Retain raw flag; map to governed activity type after migration/review.</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Days Held</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Date Sold minus Date Purchased</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Derive for information only; it does not change processing.</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New Month transs</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Calendar month helper</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Derive from canonical event date.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New Year</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Calendar year helper</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Derive from canonical event date.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Years held</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Days Held divided by year</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Derived information only.</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5"/>
              </w:rPr>
              <w:t>Month</w:t>
            </w:r>
          </w:p>
        </w:tc>
        <w:tc>
          <w:tcPr>
            <w:tcW w:type="dxa" w:w="3300"/>
            <w:vAlign w:val="center"/>
            <w:tcMar>
              <w:top w:w="80" w:type="dxa"/>
              <w:bottom w:w="80" w:type="dxa"/>
              <w:start w:w="120" w:type="dxa"/>
              <w:end w:w="120" w:type="dxa"/>
            </w:tcMar>
          </w:tcPr>
          <w:p>
            <w:pPr>
              <w:spacing w:after="0" w:line="252" w:lineRule="auto"/>
            </w:pPr>
            <w:r>
              <w:rPr>
                <w:rFonts w:ascii="Calibri" w:hAnsi="Calibri"/>
                <w:b w:val="0"/>
                <w:i w:val="0"/>
                <w:color w:val="0B2545"/>
                <w:sz w:val="15"/>
              </w:rPr>
              <w:t>Calendar month number</w:t>
            </w:r>
          </w:p>
        </w:tc>
        <w:tc>
          <w:tcPr>
            <w:tcW w:type="dxa" w:w="4160"/>
            <w:vAlign w:val="center"/>
            <w:tcMar>
              <w:top w:w="80" w:type="dxa"/>
              <w:bottom w:w="80" w:type="dxa"/>
              <w:start w:w="120" w:type="dxa"/>
              <w:end w:w="120" w:type="dxa"/>
            </w:tcMar>
          </w:tcPr>
          <w:p>
            <w:pPr>
              <w:spacing w:after="0" w:line="252" w:lineRule="auto"/>
            </w:pPr>
            <w:r>
              <w:rPr>
                <w:rFonts w:ascii="Calibri" w:hAnsi="Calibri"/>
                <w:b w:val="0"/>
                <w:i w:val="0"/>
                <w:color w:val="0B2545"/>
                <w:sz w:val="15"/>
              </w:rPr>
              <w:t>Derive from canonical event date.</w:t>
            </w:r>
          </w:p>
        </w:tc>
      </w:tr>
    </w:tbl>
    <w:p>
      <w:pPr>
        <w:spacing w:after="20"/>
      </w:pPr>
    </w:p>
    <w:p>
      <w:pPr>
        <w:pStyle w:val="Heading1"/>
      </w:pPr>
      <w:r>
        <w:t>3. Verified Data Profile and Migration Boundary</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F2F4F7"/>
            <w:vAlign w:val="center"/>
            <w:tcMar>
              <w:top w:w="80" w:type="dxa"/>
              <w:bottom w:w="80" w:type="dxa"/>
              <w:start w:w="120" w:type="dxa"/>
              <w:end w:w="120" w:type="dxa"/>
            </w:tcMar>
          </w:tcPr>
          <w:p>
            <w:pPr>
              <w:spacing w:after="0"/>
            </w:pPr>
            <w:r>
              <w:rPr>
                <w:rFonts w:ascii="Calibri" w:hAnsi="Calibri"/>
                <w:b/>
                <w:i w:val="0"/>
                <w:color w:val="0B2545"/>
                <w:sz w:val="17"/>
              </w:rPr>
              <w:t>Period</w:t>
            </w:r>
          </w:p>
        </w:tc>
        <w:tc>
          <w:tcPr>
            <w:tcW w:type="dxa" w:w="7460"/>
            <w:shd w:fill="F2F4F7"/>
            <w:vAlign w:val="center"/>
            <w:tcMar>
              <w:top w:w="80" w:type="dxa"/>
              <w:bottom w:w="80" w:type="dxa"/>
              <w:start w:w="120" w:type="dxa"/>
              <w:end w:w="120" w:type="dxa"/>
            </w:tcMar>
          </w:tcPr>
          <w:p>
            <w:pPr>
              <w:spacing w:after="0"/>
            </w:pPr>
            <w:r>
              <w:rPr>
                <w:rFonts w:ascii="Calibri" w:hAnsi="Calibri"/>
                <w:b/>
                <w:i w:val="0"/>
                <w:color w:val="0B2545"/>
                <w:sz w:val="17"/>
              </w:rPr>
              <w:t>Verified disposition</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2024</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Import only rows whose original Flag is exactly Div. No other 2024 transaction activity is migrated. Source documentation identifies 976 cleaned dividend rows.</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2025</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Import only the 2,846 rows whose original Flag is exactly Div. Exclude all other 2025 transaction data.</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2026</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2,204 transaction rows were identified: 2,049 exact Div rows and 155 rows separated for manual owner review.</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Before 2026, non-dividend results</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Do not reconstruct. Existing Dashboard totals remain the historical reporting baseline for activity excluded by the approved migration boundary.</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Future years</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All governed investment activity is stored as permanent, typed ledger events; no new year-specific transaction table is created.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300"/>
        <w:gridCol w:w="900"/>
        <w:gridCol w:w="6160"/>
      </w:tblGrid>
      <w:tr>
        <w:trPr>
          <w:tblHeader w:val="true"/>
          <w:cantSplit/>
        </w:trPr>
        <w:tc>
          <w:tcPr>
            <w:tcW w:type="dxa" w:w="2300"/>
            <w:shd w:fill="F2F4F7"/>
            <w:vAlign w:val="center"/>
            <w:tcMar>
              <w:top w:w="80" w:type="dxa"/>
              <w:bottom w:w="80" w:type="dxa"/>
              <w:start w:w="120" w:type="dxa"/>
              <w:end w:w="120" w:type="dxa"/>
            </w:tcMar>
          </w:tcPr>
          <w:p>
            <w:pPr>
              <w:spacing w:after="0"/>
            </w:pPr>
            <w:r>
              <w:rPr>
                <w:rFonts w:ascii="Calibri" w:hAnsi="Calibri"/>
                <w:b/>
                <w:i w:val="0"/>
                <w:color w:val="0B2545"/>
                <w:sz w:val="17"/>
              </w:rPr>
              <w:t>2026 manual-review flag</w:t>
            </w:r>
          </w:p>
        </w:tc>
        <w:tc>
          <w:tcPr>
            <w:tcW w:type="dxa" w:w="900"/>
            <w:shd w:fill="F2F4F7"/>
            <w:vAlign w:val="center"/>
            <w:tcMar>
              <w:top w:w="80" w:type="dxa"/>
              <w:bottom w:w="80" w:type="dxa"/>
              <w:start w:w="120" w:type="dxa"/>
              <w:end w:w="120" w:type="dxa"/>
            </w:tcMar>
          </w:tcPr>
          <w:p>
            <w:pPr>
              <w:spacing w:after="0"/>
            </w:pPr>
            <w:r>
              <w:rPr>
                <w:rFonts w:ascii="Calibri" w:hAnsi="Calibri"/>
                <w:b/>
                <w:i w:val="0"/>
                <w:color w:val="0B2545"/>
                <w:sz w:val="17"/>
              </w:rPr>
              <w:t>Rows</w:t>
            </w:r>
          </w:p>
        </w:tc>
        <w:tc>
          <w:tcPr>
            <w:tcW w:type="dxa" w:w="6160"/>
            <w:shd w:fill="F2F4F7"/>
            <w:vAlign w:val="center"/>
            <w:tcMar>
              <w:top w:w="80" w:type="dxa"/>
              <w:bottom w:w="80" w:type="dxa"/>
              <w:start w:w="120" w:type="dxa"/>
              <w:end w:w="120" w:type="dxa"/>
            </w:tcMar>
          </w:tcPr>
          <w:p>
            <w:pPr>
              <w:spacing w:after="0"/>
            </w:pPr>
            <w:r>
              <w:rPr>
                <w:rFonts w:ascii="Calibri" w:hAnsi="Calibri"/>
                <w:b/>
                <w:i w:val="0"/>
                <w:color w:val="0B2545"/>
                <w:sz w:val="17"/>
              </w:rPr>
              <w:t>Treatment</w:t>
            </w:r>
          </w:p>
        </w:tc>
      </w:tr>
      <w:tr>
        <w:trPr>
          <w:cantSplit/>
        </w:trPr>
        <w:tc>
          <w:tcPr>
            <w:tcW w:type="dxa" w:w="2300"/>
            <w:vAlign w:val="center"/>
            <w:tcMar>
              <w:top w:w="80" w:type="dxa"/>
              <w:bottom w:w="80" w:type="dxa"/>
              <w:start w:w="120" w:type="dxa"/>
              <w:end w:w="120" w:type="dxa"/>
            </w:tcMar>
          </w:tcPr>
          <w:p>
            <w:pPr>
              <w:spacing w:after="0" w:line="252" w:lineRule="auto"/>
            </w:pPr>
            <w:r>
              <w:rPr>
                <w:rFonts w:ascii="Calibri" w:hAnsi="Calibri"/>
                <w:b w:val="0"/>
                <w:i w:val="0"/>
                <w:color w:val="0B2545"/>
                <w:sz w:val="17"/>
              </w:rPr>
              <w:t>Day</w:t>
            </w:r>
          </w:p>
        </w:tc>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7"/>
              </w:rPr>
              <w:t>138</w:t>
            </w:r>
          </w:p>
        </w:tc>
        <w:tc>
          <w:tcPr>
            <w:tcW w:type="dxa" w:w="6160"/>
            <w:vAlign w:val="center"/>
            <w:tcMar>
              <w:top w:w="80" w:type="dxa"/>
              <w:bottom w:w="80" w:type="dxa"/>
              <w:start w:w="120" w:type="dxa"/>
              <w:end w:w="120" w:type="dxa"/>
            </w:tcMar>
          </w:tcPr>
          <w:p>
            <w:pPr>
              <w:spacing w:after="0" w:line="252" w:lineRule="auto"/>
            </w:pPr>
            <w:r>
              <w:rPr>
                <w:rFonts w:ascii="Calibri" w:hAnsi="Calibri"/>
                <w:b w:val="0"/>
                <w:i w:val="0"/>
                <w:color w:val="0B2545"/>
                <w:sz w:val="17"/>
              </w:rPr>
              <w:t>Owner reviews and normalizes each retained event.</w:t>
            </w:r>
          </w:p>
        </w:tc>
      </w:tr>
      <w:tr>
        <w:trPr>
          <w:cantSplit/>
        </w:trPr>
        <w:tc>
          <w:tcPr>
            <w:tcW w:type="dxa" w:w="2300"/>
            <w:vAlign w:val="center"/>
            <w:tcMar>
              <w:top w:w="80" w:type="dxa"/>
              <w:bottom w:w="80" w:type="dxa"/>
              <w:start w:w="120" w:type="dxa"/>
              <w:end w:w="120" w:type="dxa"/>
            </w:tcMar>
          </w:tcPr>
          <w:p>
            <w:pPr>
              <w:spacing w:after="0" w:line="252" w:lineRule="auto"/>
            </w:pPr>
            <w:r>
              <w:rPr>
                <w:rFonts w:ascii="Calibri" w:hAnsi="Calibri"/>
                <w:b w:val="0"/>
                <w:i w:val="0"/>
                <w:color w:val="0B2545"/>
                <w:sz w:val="17"/>
              </w:rPr>
              <w:t>Short</w:t>
            </w:r>
          </w:p>
        </w:tc>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7"/>
              </w:rPr>
              <w:t>13</w:t>
            </w:r>
          </w:p>
        </w:tc>
        <w:tc>
          <w:tcPr>
            <w:tcW w:type="dxa" w:w="6160"/>
            <w:vAlign w:val="center"/>
            <w:tcMar>
              <w:top w:w="80" w:type="dxa"/>
              <w:bottom w:w="80" w:type="dxa"/>
              <w:start w:w="120" w:type="dxa"/>
              <w:end w:w="120" w:type="dxa"/>
            </w:tcMar>
          </w:tcPr>
          <w:p>
            <w:pPr>
              <w:spacing w:after="0" w:line="252" w:lineRule="auto"/>
            </w:pPr>
            <w:r>
              <w:rPr>
                <w:rFonts w:ascii="Calibri" w:hAnsi="Calibri"/>
                <w:b w:val="0"/>
                <w:i w:val="0"/>
                <w:color w:val="0B2545"/>
                <w:sz w:val="17"/>
              </w:rPr>
              <w:t>Owner reviews and normalizes each retained event.</w:t>
            </w:r>
          </w:p>
        </w:tc>
      </w:tr>
      <w:tr>
        <w:trPr>
          <w:cantSplit/>
        </w:trPr>
        <w:tc>
          <w:tcPr>
            <w:tcW w:type="dxa" w:w="2300"/>
            <w:vAlign w:val="center"/>
            <w:tcMar>
              <w:top w:w="80" w:type="dxa"/>
              <w:bottom w:w="80" w:type="dxa"/>
              <w:start w:w="120" w:type="dxa"/>
              <w:end w:w="120" w:type="dxa"/>
            </w:tcMar>
          </w:tcPr>
          <w:p>
            <w:pPr>
              <w:spacing w:after="0" w:line="252" w:lineRule="auto"/>
            </w:pPr>
            <w:r>
              <w:rPr>
                <w:rFonts w:ascii="Calibri" w:hAnsi="Calibri"/>
                <w:b w:val="0"/>
                <w:i w:val="0"/>
                <w:color w:val="0B2545"/>
                <w:sz w:val="17"/>
              </w:rPr>
              <w:t>CC</w:t>
            </w:r>
          </w:p>
        </w:tc>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7"/>
              </w:rPr>
              <w:t>2</w:t>
            </w:r>
          </w:p>
        </w:tc>
        <w:tc>
          <w:tcPr>
            <w:tcW w:type="dxa" w:w="6160"/>
            <w:vAlign w:val="center"/>
            <w:tcMar>
              <w:top w:w="80" w:type="dxa"/>
              <w:bottom w:w="80" w:type="dxa"/>
              <w:start w:w="120" w:type="dxa"/>
              <w:end w:w="120" w:type="dxa"/>
            </w:tcMar>
          </w:tcPr>
          <w:p>
            <w:pPr>
              <w:spacing w:after="0" w:line="252" w:lineRule="auto"/>
            </w:pPr>
            <w:r>
              <w:rPr>
                <w:rFonts w:ascii="Calibri" w:hAnsi="Calibri"/>
                <w:b w:val="0"/>
                <w:i w:val="0"/>
                <w:color w:val="0B2545"/>
                <w:sz w:val="17"/>
              </w:rPr>
              <w:t>Owner reviews against covered-call event semantics.</w:t>
            </w:r>
          </w:p>
        </w:tc>
      </w:tr>
      <w:tr>
        <w:trPr>
          <w:cantSplit/>
        </w:trPr>
        <w:tc>
          <w:tcPr>
            <w:tcW w:type="dxa" w:w="2300"/>
            <w:vAlign w:val="center"/>
            <w:tcMar>
              <w:top w:w="80" w:type="dxa"/>
              <w:bottom w:w="80" w:type="dxa"/>
              <w:start w:w="120" w:type="dxa"/>
              <w:end w:w="120" w:type="dxa"/>
            </w:tcMar>
          </w:tcPr>
          <w:p>
            <w:pPr>
              <w:spacing w:after="0" w:line="252" w:lineRule="auto"/>
            </w:pPr>
            <w:r>
              <w:rPr>
                <w:rFonts w:ascii="Calibri" w:hAnsi="Calibri"/>
                <w:b w:val="0"/>
                <w:i w:val="0"/>
                <w:color w:val="0B2545"/>
                <w:sz w:val="17"/>
              </w:rPr>
              <w:t>Put</w:t>
            </w:r>
          </w:p>
        </w:tc>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7"/>
              </w:rPr>
              <w:t>1</w:t>
            </w:r>
          </w:p>
        </w:tc>
        <w:tc>
          <w:tcPr>
            <w:tcW w:type="dxa" w:w="6160"/>
            <w:vAlign w:val="center"/>
            <w:tcMar>
              <w:top w:w="80" w:type="dxa"/>
              <w:bottom w:w="80" w:type="dxa"/>
              <w:start w:w="120" w:type="dxa"/>
              <w:end w:w="120" w:type="dxa"/>
            </w:tcMar>
          </w:tcPr>
          <w:p>
            <w:pPr>
              <w:spacing w:after="0" w:line="252" w:lineRule="auto"/>
            </w:pPr>
            <w:r>
              <w:rPr>
                <w:rFonts w:ascii="Calibri" w:hAnsi="Calibri"/>
                <w:b w:val="0"/>
                <w:i w:val="0"/>
                <w:color w:val="0B2545"/>
                <w:sz w:val="17"/>
              </w:rPr>
              <w:t>Owner reviews against cash-secured-put event semantics.</w:t>
            </w:r>
          </w:p>
        </w:tc>
      </w:tr>
      <w:tr>
        <w:trPr>
          <w:cantSplit/>
        </w:trPr>
        <w:tc>
          <w:tcPr>
            <w:tcW w:type="dxa" w:w="2300"/>
            <w:vAlign w:val="center"/>
            <w:tcMar>
              <w:top w:w="80" w:type="dxa"/>
              <w:bottom w:w="80" w:type="dxa"/>
              <w:start w:w="120" w:type="dxa"/>
              <w:end w:w="120" w:type="dxa"/>
            </w:tcMar>
          </w:tcPr>
          <w:p>
            <w:pPr>
              <w:spacing w:after="0" w:line="252" w:lineRule="auto"/>
            </w:pPr>
            <w:r>
              <w:rPr>
                <w:rFonts w:ascii="Calibri" w:hAnsi="Calibri"/>
                <w:b w:val="0"/>
                <w:i w:val="0"/>
                <w:color w:val="0B2545"/>
                <w:sz w:val="17"/>
              </w:rPr>
              <w:t>Blank / space</w:t>
            </w:r>
          </w:p>
        </w:tc>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7"/>
              </w:rPr>
              <w:t>1</w:t>
            </w:r>
          </w:p>
        </w:tc>
        <w:tc>
          <w:tcPr>
            <w:tcW w:type="dxa" w:w="6160"/>
            <w:vAlign w:val="center"/>
            <w:tcMar>
              <w:top w:w="80" w:type="dxa"/>
              <w:bottom w:w="80" w:type="dxa"/>
              <w:start w:w="120" w:type="dxa"/>
              <w:end w:w="120" w:type="dxa"/>
            </w:tcMar>
          </w:tcPr>
          <w:p>
            <w:pPr>
              <w:spacing w:after="0" w:line="252" w:lineRule="auto"/>
            </w:pPr>
            <w:r>
              <w:rPr>
                <w:rFonts w:ascii="Calibri" w:hAnsi="Calibri"/>
                <w:b w:val="0"/>
                <w:i w:val="0"/>
                <w:color w:val="0B2545"/>
                <w:sz w:val="17"/>
              </w:rPr>
              <w:t>TOPW row remains unclassified until owner decision even though Notes says Dividend.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120" w:type="dxa"/>
              <w:bottom w:w="120" w:type="dxa"/>
              <w:start w:w="120" w:type="dxa"/>
              <w:end w:w="120" w:type="dxa"/>
            </w:tcMar>
            <w:shd w:fill="FFF2CC"/>
          </w:tcPr>
          <w:p>
            <w:pPr>
              <w:spacing w:after="0"/>
            </w:pPr>
            <w:r>
              <w:rPr>
                <w:rFonts w:ascii="Calibri" w:hAnsi="Calibri"/>
                <w:b/>
                <w:i w:val="0"/>
                <w:color w:val="1F4D78"/>
                <w:sz w:val="22"/>
              </w:rPr>
              <w:t xml:space="preserve">Migration control: </w:t>
            </w:r>
            <w:r>
              <w:rPr>
                <w:rFonts w:ascii="Calibri" w:hAnsi="Calibri"/>
                <w:b w:val="0"/>
                <w:i w:val="0"/>
                <w:color w:val="1F4D78"/>
                <w:sz w:val="22"/>
              </w:rPr>
              <w:t>The application must not infer that a legacy row is valid merely because its Notes field resembles a known activity. The original row, fields, flag, source sheet, source row, migration decision, reviewer, and review time remain traceable.</w:t>
            </w:r>
          </w:p>
        </w:tc>
      </w:tr>
    </w:tbl>
    <w:p>
      <w:pPr>
        <w:spacing w:after="20"/>
      </w:pPr>
    </w:p>
    <w:p>
      <w:pPr>
        <w:pStyle w:val="Heading1"/>
      </w:pPr>
      <w:r>
        <w:t>4. Confirmed Business Rules</w:t>
      </w:r>
    </w:p>
    <w:tbl>
      <w:tblPr>
        <w:tblStyle w:val="TableGrid"/>
        <w:tblW w:type="dxa" w:w="9360"/>
        <w:jc w:val="left"/>
        <w:tblLayout w:type="fixed"/>
        <w:tblLook w:firstColumn="1" w:firstRow="1" w:lastColumn="0" w:lastRow="0" w:noHBand="0" w:noVBand="1" w:val="04A0"/>
        <w:tblInd w:w="120" w:type="dxa"/>
      </w:tblPr>
      <w:tblGrid>
        <w:gridCol w:w="1350"/>
        <w:gridCol w:w="8010"/>
      </w:tblGrid>
      <w:tr>
        <w:trPr>
          <w:tblHeader w:val="true"/>
          <w:cantSplit/>
        </w:trPr>
        <w:tc>
          <w:tcPr>
            <w:tcW w:type="dxa" w:w="1350"/>
            <w:shd w:fill="F2F4F7"/>
            <w:vAlign w:val="center"/>
            <w:tcMar>
              <w:top w:w="80" w:type="dxa"/>
              <w:bottom w:w="80" w:type="dxa"/>
              <w:start w:w="120" w:type="dxa"/>
              <w:end w:w="120" w:type="dxa"/>
            </w:tcMar>
          </w:tcPr>
          <w:p>
            <w:pPr>
              <w:spacing w:after="0"/>
            </w:pPr>
            <w:r>
              <w:rPr>
                <w:rFonts w:ascii="Calibri" w:hAnsi="Calibri"/>
                <w:b/>
                <w:i w:val="0"/>
                <w:color w:val="0B2545"/>
                <w:sz w:val="16"/>
              </w:rPr>
              <w:t>ID</w:t>
            </w:r>
          </w:p>
        </w:tc>
        <w:tc>
          <w:tcPr>
            <w:tcW w:type="dxa" w:w="8010"/>
            <w:shd w:fill="F2F4F7"/>
            <w:vAlign w:val="center"/>
            <w:tcMar>
              <w:top w:w="80" w:type="dxa"/>
              <w:bottom w:w="80" w:type="dxa"/>
              <w:start w:w="120" w:type="dxa"/>
              <w:end w:w="120" w:type="dxa"/>
            </w:tcMar>
          </w:tcPr>
          <w:p>
            <w:pPr>
              <w:spacing w:after="0"/>
            </w:pPr>
            <w:r>
              <w:rPr>
                <w:rFonts w:ascii="Calibri" w:hAnsi="Calibri"/>
                <w:b/>
                <w:i w:val="0"/>
                <w:color w:val="0B2545"/>
                <w:sz w:val="16"/>
              </w:rPr>
              <w:t>Confirmed rule</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BR-ROI-01</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Maintain one permanent Investment Activity Ledger across all years.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BR-ROI-02</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Preserve each imported broker transaction as an immutable event with source provenance.</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BR-ROI-03</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Keep Dividend, Covered Call premium, Cash-Secured Put premium, Lot Sale realized P/L, and Day Trade P/L as distinct activity types.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BR-ROI-04</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Attribute option premium to the related underlying investment while preserving the option contract and event identity.</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BR-ROI-05</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A covered call or cash-secured put that expires worthless recognizes the full net premium as realized income on the expiration date.</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BR-ROI-06</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Option open, close, expiration, assignment, exercise, and resulting stock transaction are independent linked events.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BR-ROI-07</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The failed legacy option-roll/debt-buy-down process is historical only and is not a future workflow.</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BR-ROI-08</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Stock and ETF lot-sale P/L is captured in ROI; holding duration is informational and does not alter the process.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BR-ROI-09</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Never assume FIFO. The system may propose the lowest-cost eligible lot, but finalization requires reconciliation to the broker-reported lot.</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BR-ROI-10</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Unmatched sales remain in a reconciliation queue and are excluded from finalized lot-level ROI.</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BR-ROI-11</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Corrections use linked reversal or correcting events; finalized events are never silently overwritten.</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BR-ROI-12</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Broker-reported net cash received is authoritative for realized dividend amount.</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BR-ROI-13</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Investment performance uses actual price paid. ROC-adjusted tax basis is optional tax data and does not replace investment cost basis.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BR-ROI-14</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A ticker change applies across every account only after owner approval; the approved change updates reporting immediately.</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BR-ROI-15</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Original transaction symbols remain preserved while reports display the approved current symbol.</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BR-ROI-16</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Every automated proposal/action and every approval, recalculation, correction, failure, and reversal is audit logged.</w:t>
            </w:r>
          </w:p>
        </w:tc>
      </w:tr>
    </w:tbl>
    <w:p>
      <w:pPr>
        <w:spacing w:after="20"/>
      </w:pPr>
    </w:p>
    <w:p>
      <w:pPr>
        <w:pStyle w:val="Heading1"/>
      </w:pPr>
      <w:r>
        <w:t>5. Target Transaction Lifecycle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F2F4F7"/>
            <w:vAlign w:val="center"/>
            <w:tcMar>
              <w:top w:w="80" w:type="dxa"/>
              <w:bottom w:w="80" w:type="dxa"/>
              <w:start w:w="120" w:type="dxa"/>
              <w:end w:w="120" w:type="dxa"/>
            </w:tcMar>
          </w:tcPr>
          <w:p>
            <w:pPr>
              <w:spacing w:after="0"/>
            </w:pPr>
            <w:r>
              <w:rPr>
                <w:rFonts w:ascii="Calibri" w:hAnsi="Calibri"/>
                <w:b/>
                <w:i w:val="0"/>
                <w:color w:val="0B2545"/>
                <w:sz w:val="17"/>
              </w:rPr>
              <w:t>Stage</w:t>
            </w:r>
          </w:p>
        </w:tc>
        <w:tc>
          <w:tcPr>
            <w:tcW w:type="dxa" w:w="7460"/>
            <w:shd w:fill="F2F4F7"/>
            <w:vAlign w:val="center"/>
            <w:tcMar>
              <w:top w:w="80" w:type="dxa"/>
              <w:bottom w:w="80" w:type="dxa"/>
              <w:start w:w="120" w:type="dxa"/>
              <w:end w:w="120" w:type="dxa"/>
            </w:tcMar>
          </w:tcPr>
          <w:p>
            <w:pPr>
              <w:spacing w:after="0"/>
            </w:pPr>
            <w:r>
              <w:rPr>
                <w:rFonts w:ascii="Calibri" w:hAnsi="Calibri"/>
                <w:b/>
                <w:i w:val="0"/>
                <w:color w:val="0B2545"/>
                <w:sz w:val="17"/>
              </w:rPr>
              <w:t>Required behavior</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1 — Acquire</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Accept broker CSV upload or structured transaction-register copy/paste. Direct broker/API connectivity is a future enhancement, not required for initial delivery.</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2 — Stage</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Store the exact source payload, broker/account identity, import batch, source row, original symbol, dates, amounts, and any broker transaction identifier.</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3 — De-duplicate</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Use broker transaction ID when available. Otherwise compare account, event date, original symbol, activity type, quantity, and net amount and send possible matches to review.</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4 — Classify</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Map broker description/code to a governed activity type. Low-confidence or contradictory mappings require approval rather than automatic posting.</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5 — Resolve investment</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Resolve original symbol to a stable investment identity through approved symbol history. Proposed ticker relationships remain pending until approved.</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6 — Reconcile lots</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For a stock/ETF close, propose the lowest-cost eligible lot and compare it with broker-reported lot evidence. Never finalize by assumed FIFO.</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7 — Link lifecycle</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Link related option and stock events without merging them. Expiration, assignment, exercise, and stock acquisition/disposition remain separately auditable.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8 — Finalize</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Post only when required classification, investment identity, and lot reconciliation are complete. Finalization fixes the event’s authoritative state.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9 — Correct</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Post a reversal or correction linked to the original. Recompute affected reporting and retain before/after values and reason.</w:t>
            </w:r>
          </w:p>
        </w:tc>
      </w:tr>
    </w:tbl>
    <w:p>
      <w:pPr>
        <w:spacing w:after="20"/>
      </w:pPr>
    </w:p>
    <w:p>
      <w:pPr>
        <w:pStyle w:val="Heading1"/>
      </w:pPr>
      <w:r>
        <w:t>6. Lot Selection and Sale Reconciliation</w:t>
      </w:r>
    </w:p>
    <w:p>
      <w:r>
        <w:rPr>
          <w:rFonts w:ascii="Calibri" w:hAnsi="Calibri"/>
          <w:b w:val="0"/>
          <w:i w:val="0"/>
          <w:color w:val="0B2545"/>
          <w:sz w:val="22"/>
        </w:rPr>
        <w:t>The owner’s trading intention is lowest-cost-first. This is a proposal rule, not an accounting assumption. Broker reporting determines the authoritative lot assignment. The application must therefore separate intended lot selection from confirmed lot allocation.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F2F4F7"/>
            <w:vAlign w:val="center"/>
            <w:tcMar>
              <w:top w:w="80" w:type="dxa"/>
              <w:bottom w:w="80" w:type="dxa"/>
              <w:start w:w="120" w:type="dxa"/>
              <w:end w:w="120" w:type="dxa"/>
            </w:tcMar>
          </w:tcPr>
          <w:p>
            <w:pPr>
              <w:spacing w:after="0"/>
            </w:pPr>
            <w:r>
              <w:rPr>
                <w:rFonts w:ascii="Calibri" w:hAnsi="Calibri"/>
                <w:b/>
                <w:i w:val="0"/>
                <w:color w:val="0B2545"/>
                <w:sz w:val="17"/>
              </w:rPr>
              <w:t>State</w:t>
            </w:r>
          </w:p>
        </w:tc>
        <w:tc>
          <w:tcPr>
            <w:tcW w:type="dxa" w:w="7460"/>
            <w:shd w:fill="F2F4F7"/>
            <w:vAlign w:val="center"/>
            <w:tcMar>
              <w:top w:w="80" w:type="dxa"/>
              <w:bottom w:w="80" w:type="dxa"/>
              <w:start w:w="120" w:type="dxa"/>
              <w:end w:w="120" w:type="dxa"/>
            </w:tcMar>
          </w:tcPr>
          <w:p>
            <w:pPr>
              <w:spacing w:after="0"/>
            </w:pPr>
            <w:r>
              <w:rPr>
                <w:rFonts w:ascii="Calibri" w:hAnsi="Calibri"/>
                <w:b/>
                <w:i w:val="0"/>
                <w:color w:val="0B2545"/>
                <w:sz w:val="17"/>
              </w:rPr>
              <w:t>Meaning and system treatment</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Imported</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Closing transaction captured but not yet matched to an opening lot.</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Proposed</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System identifies eligible open lots and ranks lowest unit cost first; owner can review the proposal.</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Broker confirmed</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Broker lot detail identifies the actual opening lot(s), quantities, and basis.</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Reconciled</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Closing quantities exactly match confirmed opening lot quantities; realized P/L becomes finalized.</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Exception</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Missing evidence, quantity mismatch, basis mismatch, or ambiguous allocation remains visible and excluded from finalized lot-level reporting.</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Corrected</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A later broker correction creates a linked adjustment/reversal and preserves prior reconciliation history.</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120" w:type="dxa"/>
              <w:bottom w:w="120" w:type="dxa"/>
              <w:start w:w="120" w:type="dxa"/>
              <w:end w:w="120" w:type="dxa"/>
            </w:tcMar>
            <w:shd w:fill="FCE4D6"/>
          </w:tcPr>
          <w:p>
            <w:pPr>
              <w:spacing w:after="0"/>
            </w:pPr>
            <w:r>
              <w:rPr>
                <w:rFonts w:ascii="Calibri" w:hAnsi="Calibri"/>
                <w:b/>
                <w:i w:val="0"/>
                <w:color w:val="1F4D78"/>
                <w:sz w:val="22"/>
              </w:rPr>
              <w:t xml:space="preserve">No FIFO fallback: </w:t>
            </w:r>
            <w:r>
              <w:rPr>
                <w:rFonts w:ascii="Calibri" w:hAnsi="Calibri"/>
                <w:b w:val="0"/>
                <w:i w:val="0"/>
                <w:color w:val="1F4D78"/>
                <w:sz w:val="22"/>
              </w:rPr>
              <w:t>If broker lot information is unavailable, the transaction remains unresolved. The application may display an estimated lowest-cost outcome, clearly labeled as provisional, but it cannot silently post that estimate as the authoritative realized result.</w:t>
            </w:r>
          </w:p>
        </w:tc>
      </w:tr>
    </w:tbl>
    <w:p>
      <w:pPr>
        <w:spacing w:after="20"/>
      </w:pPr>
    </w:p>
    <w:p>
      <w:pPr>
        <w:pStyle w:val="Heading1"/>
      </w:pPr>
      <w:r>
        <w:t>7. Option Event Requirements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F2F4F7"/>
            <w:vAlign w:val="center"/>
            <w:tcMar>
              <w:top w:w="80" w:type="dxa"/>
              <w:bottom w:w="80" w:type="dxa"/>
              <w:start w:w="120" w:type="dxa"/>
              <w:end w:w="120" w:type="dxa"/>
            </w:tcMar>
          </w:tcPr>
          <w:p>
            <w:pPr>
              <w:spacing w:after="0"/>
            </w:pPr>
            <w:r>
              <w:rPr>
                <w:rFonts w:ascii="Calibri" w:hAnsi="Calibri"/>
                <w:b/>
                <w:i w:val="0"/>
                <w:color w:val="0B2545"/>
                <w:sz w:val="17"/>
              </w:rPr>
              <w:t>Event</w:t>
            </w:r>
          </w:p>
        </w:tc>
        <w:tc>
          <w:tcPr>
            <w:tcW w:type="dxa" w:w="7460"/>
            <w:shd w:fill="F2F4F7"/>
            <w:vAlign w:val="center"/>
            <w:tcMar>
              <w:top w:w="80" w:type="dxa"/>
              <w:bottom w:w="80" w:type="dxa"/>
              <w:start w:w="120" w:type="dxa"/>
              <w:end w:w="120" w:type="dxa"/>
            </w:tcMar>
          </w:tcPr>
          <w:p>
            <w:pPr>
              <w:spacing w:after="0"/>
            </w:pPr>
            <w:r>
              <w:rPr>
                <w:rFonts w:ascii="Calibri" w:hAnsi="Calibri"/>
                <w:b/>
                <w:i w:val="0"/>
                <w:color w:val="0B2545"/>
                <w:sz w:val="17"/>
              </w:rPr>
              <w:t>Accounting and linking requirement</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Premium received</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Record the broker transaction as its own cash event and link it to the option contract and underlying investment.</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Buy to close</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Record as a separate event. Realized option result is net premium received less closing cost and fees for the linked lifecycle.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Expires worthless</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Record expiration as a lifecycle event. The full net premium becomes realized income on the expiration date.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Assignment</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Record assignment separately from premium. Create/link the broker-reported underlying stock disposition or acquisition; do not collapse the events.</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Exercise</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Record exercise separately and link the resulting stock event and affected lot(s).</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Roll</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Represent the close of the old contract and open of the new contract as independent events. No special future debt-buy-down or loss-roll process is retained.</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Attribution</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Report premium and realized option outcome under the stable identity of the underlying investment while retaining contract-specific detail.</w:t>
            </w:r>
          </w:p>
        </w:tc>
      </w:tr>
    </w:tbl>
    <w:p>
      <w:pPr>
        <w:spacing w:after="20"/>
      </w:pPr>
    </w:p>
    <w:p>
      <w:pPr>
        <w:pStyle w:val="Heading1"/>
      </w:pPr>
      <w:r>
        <w:t>8. Ticker and Investment Identity Management</w:t>
      </w:r>
    </w:p>
    <w:p>
      <w:r>
        <w:rPr>
          <w:rFonts w:ascii="Calibri" w:hAnsi="Calibri"/>
          <w:b w:val="0"/>
          <w:i w:val="0"/>
          <w:color w:val="0B2545"/>
          <w:sz w:val="22"/>
        </w:rPr>
        <w:t>Ticker is a changeable label, not the permanent identity of an investment. The target must use a stable investment_id and an effective-dated symbol-history record. TOPW is the current ticker and WPAY is one known historical ticker for the same investment; the process must support any number of similar changes.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F2F4F7"/>
            <w:vAlign w:val="center"/>
            <w:tcMar>
              <w:top w:w="80" w:type="dxa"/>
              <w:bottom w:w="80" w:type="dxa"/>
              <w:start w:w="120" w:type="dxa"/>
              <w:end w:w="120" w:type="dxa"/>
            </w:tcMar>
          </w:tcPr>
          <w:p>
            <w:pPr>
              <w:spacing w:after="0"/>
            </w:pPr>
            <w:r>
              <w:rPr>
                <w:rFonts w:ascii="Calibri" w:hAnsi="Calibri"/>
                <w:b/>
                <w:i w:val="0"/>
                <w:color w:val="0B2545"/>
                <w:sz w:val="17"/>
              </w:rPr>
              <w:t>Control</w:t>
            </w:r>
          </w:p>
        </w:tc>
        <w:tc>
          <w:tcPr>
            <w:tcW w:type="dxa" w:w="7460"/>
            <w:shd w:fill="F2F4F7"/>
            <w:vAlign w:val="center"/>
            <w:tcMar>
              <w:top w:w="80" w:type="dxa"/>
              <w:bottom w:w="80" w:type="dxa"/>
              <w:start w:w="120" w:type="dxa"/>
              <w:end w:w="120" w:type="dxa"/>
            </w:tcMar>
          </w:tcPr>
          <w:p>
            <w:pPr>
              <w:spacing w:after="0"/>
            </w:pPr>
            <w:r>
              <w:rPr>
                <w:rFonts w:ascii="Calibri" w:hAnsi="Calibri"/>
                <w:b/>
                <w:i w:val="0"/>
                <w:color w:val="0B2545"/>
                <w:sz w:val="17"/>
              </w:rPr>
              <w:t>Approved behavior</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Detection</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Imports and reference data may identify a possible ticker/name change and create a proposal with evidence and confidence.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Approval</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No symbol relationship is applied until the owner approves that the historical and current symbols are the same investment.</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Ubiquity</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An approved relationship applies to that investment in every account and all applicable reports.</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Timing</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Approval triggers immediate resolution and recalculation. Use the official change date when known; otherwise record the approval date as the effective operational date.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Display</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Normal reports show the current approved symbol. Drilldown retains and exposes the original imported symbol and symbol history.</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History</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Transactions are not rewritten. Their original_symbol remains unchanged and resolves through the approved mapping.</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Reversal</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An incorrect mapping can be reversed, never deleted. The reversal is effective-dated and restores correct reporting through a new auditable action.</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7"/>
              </w:rPr>
              <w:t>Audit</w:t>
            </w:r>
          </w:p>
        </w:tc>
        <w:tc>
          <w:tcPr>
            <w:tcW w:type="dxa" w:w="7460"/>
            <w:vAlign w:val="center"/>
            <w:tcMar>
              <w:top w:w="80" w:type="dxa"/>
              <w:bottom w:w="80" w:type="dxa"/>
              <w:start w:w="120" w:type="dxa"/>
              <w:end w:w="120" w:type="dxa"/>
            </w:tcMar>
          </w:tcPr>
          <w:p>
            <w:pPr>
              <w:spacing w:after="0" w:line="252" w:lineRule="auto"/>
            </w:pPr>
            <w:r>
              <w:rPr>
                <w:rFonts w:ascii="Calibri" w:hAnsi="Calibri"/>
                <w:b w:val="0"/>
                <w:i w:val="0"/>
                <w:color w:val="0B2545"/>
                <w:sz w:val="17"/>
              </w:rPr>
              <w:t>Record detection source, proposed mapping, evidence, approval/rejection, actor, timestamp, affected investment/accounts, recalculation result, failures, and reversal.</w:t>
            </w:r>
          </w:p>
        </w:tc>
      </w:tr>
    </w:tbl>
    <w:p>
      <w:pPr>
        <w:spacing w:after="20"/>
      </w:pPr>
    </w:p>
    <w:p>
      <w:pPr>
        <w:pStyle w:val="Heading1"/>
      </w:pPr>
      <w:r>
        <w:t>9. Return of Capital and Cost Basis</w:t>
      </w:r>
    </w:p>
    <w:p>
      <w:r>
        <w:rPr>
          <w:rFonts w:ascii="Calibri" w:hAnsi="Calibri"/>
          <w:b w:val="0"/>
          <w:i w:val="0"/>
          <w:color w:val="0B2545"/>
          <w:sz w:val="22"/>
        </w:rPr>
        <w:t>Investment-performance reporting retains the actual price paid as the investment cost basis. Cumulative distributions received are measured separately across all investments. This prevents ROC classifications from changing the economic purchase-price comparison or causing distributions to be counted twice.</w:t>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cantSplit/>
        </w:trPr>
        <w:tc>
          <w:tcPr>
            <w:tcW w:type="dxa" w:w="2350"/>
            <w:shd w:fill="F2F4F7"/>
            <w:vAlign w:val="center"/>
            <w:tcMar>
              <w:top w:w="80" w:type="dxa"/>
              <w:bottom w:w="80" w:type="dxa"/>
              <w:start w:w="120" w:type="dxa"/>
              <w:end w:w="120" w:type="dxa"/>
            </w:tcMar>
          </w:tcPr>
          <w:p>
            <w:pPr>
              <w:spacing w:after="0"/>
            </w:pPr>
            <w:r>
              <w:rPr>
                <w:rFonts w:ascii="Calibri" w:hAnsi="Calibri"/>
                <w:b/>
                <w:i w:val="0"/>
                <w:color w:val="0B2545"/>
                <w:sz w:val="17"/>
              </w:rPr>
              <w:t>Measure</w:t>
            </w:r>
          </w:p>
        </w:tc>
        <w:tc>
          <w:tcPr>
            <w:tcW w:type="dxa" w:w="7010"/>
            <w:shd w:fill="F2F4F7"/>
            <w:vAlign w:val="center"/>
            <w:tcMar>
              <w:top w:w="80" w:type="dxa"/>
              <w:bottom w:w="80" w:type="dxa"/>
              <w:start w:w="120" w:type="dxa"/>
              <w:end w:w="120" w:type="dxa"/>
            </w:tcMar>
          </w:tcPr>
          <w:p>
            <w:pPr>
              <w:spacing w:after="0"/>
            </w:pPr>
            <w:r>
              <w:rPr>
                <w:rFonts w:ascii="Calibri" w:hAnsi="Calibri"/>
                <w:b/>
                <w:i w:val="0"/>
                <w:color w:val="0B2545"/>
                <w:sz w:val="17"/>
              </w:rPr>
              <w:t>Target rule</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7"/>
              </w:rPr>
              <w:t>Actual purchase cost</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7"/>
              </w:rPr>
              <w:t>Canonical investment-performance basis for the lot; includes capital paid and applicable acquisition costs.</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7"/>
              </w:rPr>
              <w:t>Total distributions received</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7"/>
              </w:rPr>
              <w:t>Sum broker-reported dividend/distribution cash independently of basis adjustments.</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7"/>
              </w:rPr>
              <w:t>ROC classification</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7"/>
              </w:rPr>
              <w:t>Store when known as a distribution/tax attribute, especially for the taxable Car account; it does not rewrite investment purchase cost.</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7"/>
              </w:rPr>
              <w:t>Broker tax-adjusted basis</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7"/>
              </w:rPr>
              <w:t>Optional tax field with source and as-of date. It supports tax analysis but is not substituted into investment ROI.</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7"/>
              </w:rPr>
              <w:t>Reporting</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7"/>
              </w:rPr>
              <w:t>Show actual-cost performance and distribution totals explicitly. Any tax-basis view must be separately labeled and must not alter the standard investment view.</w:t>
            </w:r>
          </w:p>
        </w:tc>
      </w:tr>
    </w:tbl>
    <w:p>
      <w:pPr>
        <w:spacing w:after="20"/>
      </w:pPr>
    </w:p>
    <w:p>
      <w:pPr>
        <w:pStyle w:val="Heading1"/>
      </w:pPr>
      <w:r>
        <w:t>10. Target Data Architecture</w:t>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cantSplit/>
        </w:trPr>
        <w:tc>
          <w:tcPr>
            <w:tcW w:type="dxa" w:w="2350"/>
            <w:shd w:fill="F2F4F7"/>
            <w:vAlign w:val="center"/>
            <w:tcMar>
              <w:top w:w="80" w:type="dxa"/>
              <w:bottom w:w="80" w:type="dxa"/>
              <w:start w:w="120" w:type="dxa"/>
              <w:end w:w="120" w:type="dxa"/>
            </w:tcMar>
          </w:tcPr>
          <w:p>
            <w:pPr>
              <w:spacing w:after="0"/>
            </w:pPr>
            <w:r>
              <w:rPr>
                <w:rFonts w:ascii="Calibri" w:hAnsi="Calibri"/>
                <w:b/>
                <w:i w:val="0"/>
                <w:color w:val="0B2545"/>
                <w:sz w:val="16"/>
              </w:rPr>
              <w:t>Entity/view</w:t>
            </w:r>
          </w:p>
        </w:tc>
        <w:tc>
          <w:tcPr>
            <w:tcW w:type="dxa" w:w="7010"/>
            <w:shd w:fill="F2F4F7"/>
            <w:vAlign w:val="center"/>
            <w:tcMar>
              <w:top w:w="80" w:type="dxa"/>
              <w:bottom w:w="80" w:type="dxa"/>
              <w:start w:w="120" w:type="dxa"/>
              <w:end w:w="120" w:type="dxa"/>
            </w:tcMar>
          </w:tcPr>
          <w:p>
            <w:pPr>
              <w:spacing w:after="0"/>
            </w:pPr>
            <w:r>
              <w:rPr>
                <w:rFonts w:ascii="Calibri" w:hAnsi="Calibri"/>
                <w:b/>
                <w:i w:val="0"/>
                <w:color w:val="0B2545"/>
                <w:sz w:val="16"/>
              </w:rPr>
              <w:t>Required responsibility</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6"/>
              </w:rPr>
              <w:t>Investment</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6"/>
              </w:rPr>
              <w:t>Stable investment_id, current approved name/symbol, security type, underlying identity, status, and metadata.</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6"/>
              </w:rPr>
              <w:t>InvestmentSymbolHistory</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6"/>
              </w:rPr>
              <w:t>investment_id; symbol; effective_from/to; source; proposal/approval status; approved_by/at; reversal link.</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6"/>
              </w:rPr>
              <w:t>ImportBatch</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6"/>
              </w:rPr>
              <w:t>Source type/file, broker, received time, row counts, checksum, result, and operator.</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6"/>
              </w:rPr>
              <w:t>SourceTransaction</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6"/>
              </w:rPr>
              <w:t>Immutable broker/source payload, source row/id, original values, parsing status, and duplicate fingerprint.</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6"/>
              </w:rPr>
              <w:t>InvestmentActivityEvent</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6"/>
              </w:rPr>
              <w:t>Typed canonical event: account, investment, original symbol, event date, quantity, cash/proceeds/cost/fees, lifecycle status, and provenance.</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6"/>
              </w:rPr>
              <w:t>OptionContract</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6"/>
              </w:rPr>
              <w:t>Underlying investment, put/call, strike, expiration, contract multiplier, and broker identifiers.</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6"/>
              </w:rPr>
              <w:t>EventLink</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6"/>
              </w:rPr>
              <w:t>Typed relationship among opening, closing, expiration, assignment, exercise, correction, reversal, and resulting stock events.</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6"/>
              </w:rPr>
              <w:t>PositionLot</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6"/>
              </w:rPr>
              <w:t>Opening event, account, investment, acquisition date, quantity, actual price paid, remaining quantity, and optional tax basis.</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6"/>
              </w:rPr>
              <w:t>LotAllocation</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6"/>
              </w:rPr>
              <w:t>Closing event to opening lot mapping with quantity, broker evidence, proposed/confirmed state, realized P/L, and reconciliation history.</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6"/>
              </w:rPr>
              <w:t>ActivityClassification</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6"/>
              </w:rPr>
              <w:t>Governed type and subtype mapping from source descriptions/codes with confidence and owner override.</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6"/>
              </w:rPr>
              <w:t>AuditAction</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6"/>
              </w:rPr>
              <w:t>Automated proposal/action, owner decision, before/after state, affected records, actor, timestamp, outcome, error, and reversal reference.</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6"/>
              </w:rPr>
              <w:t>RealizedPerformance view</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6"/>
              </w:rPr>
              <w:t>Lifetime/YTD/month/week results by current symbol, account, investment, activity type, and original transaction drilldown.</w:t>
            </w:r>
          </w:p>
        </w:tc>
      </w:tr>
    </w:tbl>
    <w:p>
      <w:pPr>
        <w:spacing w:after="20"/>
      </w:pPr>
    </w:p>
    <w:p>
      <w:pPr>
        <w:pStyle w:val="Heading1"/>
      </w:pPr>
      <w:r>
        <w:t>11. Calculations and Reporting Definitions</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trPr>
        <w:tc>
          <w:tcPr>
            <w:tcW w:type="dxa" w:w="2450"/>
            <w:shd w:fill="F2F4F7"/>
            <w:vAlign w:val="center"/>
            <w:tcMar>
              <w:top w:w="80" w:type="dxa"/>
              <w:bottom w:w="80" w:type="dxa"/>
              <w:start w:w="120" w:type="dxa"/>
              <w:end w:w="120" w:type="dxa"/>
            </w:tcMar>
          </w:tcPr>
          <w:p>
            <w:pPr>
              <w:spacing w:after="0"/>
            </w:pPr>
            <w:r>
              <w:rPr>
                <w:rFonts w:ascii="Calibri" w:hAnsi="Calibri"/>
                <w:b/>
                <w:i w:val="0"/>
                <w:color w:val="0B2545"/>
                <w:sz w:val="16"/>
              </w:rPr>
              <w:t>Metric</w:t>
            </w:r>
          </w:p>
        </w:tc>
        <w:tc>
          <w:tcPr>
            <w:tcW w:type="dxa" w:w="6910"/>
            <w:shd w:fill="F2F4F7"/>
            <w:vAlign w:val="center"/>
            <w:tcMar>
              <w:top w:w="80" w:type="dxa"/>
              <w:bottom w:w="80" w:type="dxa"/>
              <w:start w:w="120" w:type="dxa"/>
              <w:end w:w="120" w:type="dxa"/>
            </w:tcMar>
          </w:tcPr>
          <w:p>
            <w:pPr>
              <w:spacing w:after="0"/>
            </w:pPr>
            <w:r>
              <w:rPr>
                <w:rFonts w:ascii="Calibri" w:hAnsi="Calibri"/>
                <w:b/>
                <w:i w:val="0"/>
                <w:color w:val="0B2545"/>
                <w:sz w:val="16"/>
              </w:rPr>
              <w:t>Definition and control</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Dividend income</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Sum authoritative broker-reported net dividend/distribution cash for posted Dividend events.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Covered-call income</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Realized net result of linked covered-call lifecycle events, recognized when closed, expired, or otherwise realized.</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Cash-secured-put income</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Realized net result of linked cash-secured-put lifecycle events, recognized when closed, expired, or otherwise realized.</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Lot-sale realized P/L</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Broker-reconciled sale proceeds minus actual cost of matched lot quantity minus applicable fees.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Day-trade P/L</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Realized broker-reported/matched trade P/L for governed day-trade events; remain distinct from option-income categories.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Lifetime realized performance</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Dividend income + covered-call income + cash-secured-put income + lot-sale realized P/L + day-trade P/L. Components remain visible.</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Gross cash received</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Cash receipts shown separately from realized performance. Sale proceeds are not treated as return and are never added to realized P/L.</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Holding period</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Close date minus acquisition date for the reconciled lot; informational only.</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Reporting symbol</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Current approved Investment symbol resolved at query time. Original symbol remains accessible for audit.</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Calendar helpers</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6"/>
              </w:rPr>
              <w:t>Month, quarter, year, and reporting period are derived from the canonical event date.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120" w:type="dxa"/>
              <w:bottom w:w="120" w:type="dxa"/>
              <w:start w:w="120" w:type="dxa"/>
              <w:end w:w="120" w:type="dxa"/>
            </w:tcMar>
            <w:shd w:fill="FFF2CC"/>
          </w:tcPr>
          <w:p>
            <w:pPr>
              <w:spacing w:after="0"/>
            </w:pPr>
            <w:r>
              <w:rPr>
                <w:rFonts w:ascii="Calibri" w:hAnsi="Calibri"/>
                <w:b/>
                <w:i w:val="0"/>
                <w:color w:val="1F4D78"/>
                <w:sz w:val="22"/>
              </w:rPr>
              <w:t xml:space="preserve">Double-counting prevention: </w:t>
            </w:r>
            <w:r>
              <w:rPr>
                <w:rFonts w:ascii="Calibri" w:hAnsi="Calibri"/>
                <w:b w:val="0"/>
                <w:i w:val="0"/>
                <w:color w:val="1F4D78"/>
                <w:sz w:val="22"/>
              </w:rPr>
              <w:t>Dividend cash is income; stock sale proceeds are cash movement; only the sale’s realized profit or loss contributes to realized performance. Reports must not add both sale proceeds and sale P/L as return.</w:t>
            </w:r>
          </w:p>
        </w:tc>
      </w:tr>
    </w:tbl>
    <w:p>
      <w:pPr>
        <w:spacing w:after="20"/>
      </w:pPr>
    </w:p>
    <w:p>
      <w:pPr>
        <w:pStyle w:val="Heading1"/>
      </w:pPr>
      <w:r>
        <w:t>12. Complete Target Requirements</w:t>
      </w:r>
    </w:p>
    <w:tbl>
      <w:tblPr>
        <w:tblStyle w:val="TableGrid"/>
        <w:tblW w:type="dxa" w:w="9360"/>
        <w:jc w:val="left"/>
        <w:tblLayout w:type="fixed"/>
        <w:tblLook w:firstColumn="1" w:firstRow="1" w:lastColumn="0" w:lastRow="0" w:noHBand="0" w:noVBand="1" w:val="04A0"/>
        <w:tblInd w:w="120" w:type="dxa"/>
      </w:tblPr>
      <w:tblGrid>
        <w:gridCol w:w="1350"/>
        <w:gridCol w:w="8010"/>
      </w:tblGrid>
      <w:tr>
        <w:trPr>
          <w:tblHeader w:val="true"/>
          <w:cantSplit/>
        </w:trPr>
        <w:tc>
          <w:tcPr>
            <w:tcW w:type="dxa" w:w="1350"/>
            <w:shd w:fill="F2F4F7"/>
            <w:vAlign w:val="center"/>
            <w:tcMar>
              <w:top w:w="80" w:type="dxa"/>
              <w:bottom w:w="80" w:type="dxa"/>
              <w:start w:w="120" w:type="dxa"/>
              <w:end w:w="120" w:type="dxa"/>
            </w:tcMar>
          </w:tcPr>
          <w:p>
            <w:pPr>
              <w:spacing w:after="0"/>
            </w:pPr>
            <w:r>
              <w:rPr>
                <w:rFonts w:ascii="Calibri" w:hAnsi="Calibri"/>
                <w:b/>
                <w:i w:val="0"/>
                <w:color w:val="0B2545"/>
                <w:sz w:val="16"/>
              </w:rPr>
              <w:t>ID</w:t>
            </w:r>
          </w:p>
        </w:tc>
        <w:tc>
          <w:tcPr>
            <w:tcW w:type="dxa" w:w="8010"/>
            <w:shd w:fill="F2F4F7"/>
            <w:vAlign w:val="center"/>
            <w:tcMar>
              <w:top w:w="80" w:type="dxa"/>
              <w:bottom w:w="80" w:type="dxa"/>
              <w:start w:w="120" w:type="dxa"/>
              <w:end w:w="120" w:type="dxa"/>
            </w:tcMar>
          </w:tcPr>
          <w:p>
            <w:pPr>
              <w:spacing w:after="0"/>
            </w:pPr>
            <w:r>
              <w:rPr>
                <w:rFonts w:ascii="Calibri" w:hAnsi="Calibri"/>
                <w:b/>
                <w:i w:val="0"/>
                <w:color w:val="0B2545"/>
                <w:sz w:val="16"/>
              </w:rPr>
              <w:t>Requirement</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TR-ROI-01</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Replace year-specific ROI tables with one permanent multi-year Investment Activity Ledger.</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TR-ROI-02</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Retain immutable source transactions and provenance for every import and manual entry.</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TR-ROI-03</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Support broker CSV and structured copy/paste ingestion at launch; keep API ingestion extensible.</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TR-ROI-04</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Prevent duplicates by broker ID or governed composite fingerprint with review of uncertain matches.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TR-ROI-05</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Use governed, distinct activity types and retain the raw legacy flag/source description.</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TR-ROI-06</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Store one canonical event per broker transaction; link related events without collapsing them.</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TR-ROI-07</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Recognize full net premium at expiration when a covered call or cash-secured put expires worthless.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TR-ROI-08</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Represent assignment/exercise and resulting stock transaction as separate linked events.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TR-ROI-09</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Do not implement the legacy failed debt-buy-down/option-roll strategy as a future process.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TR-ROI-10</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Capture stock/ETF lot-sale realized P/L and derive holding duration for information.</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TR-ROI-11</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Propose lowest-cost eligible lots but never assume FIFO or finalize without broker-lot reconciliation.</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TR-ROI-12</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Keep unmatched or mismatched sales in a reconciliation queue outside finalized lot ROI.</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TR-ROI-13</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Apply corrections through linked reversal/correcting events and recalculate affected reporting.</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TR-ROI-14</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Use actual price paid for investment performance; keep distributions and optional tax-adjusted basis separate.</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TR-ROI-15</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Resolve transactions through stable investment identity and effective-dated symbol history.</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TR-ROI-16</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Require owner approval before ticker consolidation; after approval apply immediately and ubiquitously.</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TR-ROI-17</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Display current symbol in reports while preserving original imported symbols in drilldown.</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TR-ROI-18</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Permit audited reversal of an incorrect symbol mapping without deleting history.</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TR-ROI-19</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Maintain an audit log for automated proposals/actions, approvals, recalculations, corrections, failures, and reversals.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TR-ROI-20</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Derive month, year, holding period, and other reporting helpers rather than storing them canonically.</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TR-ROI-21</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Report realized results by current symbol, account, time period, and activity type with transaction drilldown.</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TR-ROI-22</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Exclude SSA, 1099 work income, transfers, withdrawals, and general expenses.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TR-ROI-23</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Apply the approved migration boundary: 2024/2025 exact Div only; 2026 Div plus only owner-approved reviewed rows.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TR-ROI-24</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Normalize account identities while retaining the original imported account text and mapping evidence.</w:t>
            </w:r>
          </w:p>
        </w:tc>
      </w:tr>
    </w:tbl>
    <w:p>
      <w:pPr>
        <w:spacing w:after="20"/>
      </w:pPr>
    </w:p>
    <w:p>
      <w:pPr>
        <w:pStyle w:val="Heading1"/>
      </w:pPr>
      <w:r>
        <w:t>13. Migration and Implementation Plan</w:t>
      </w:r>
    </w:p>
    <w:tbl>
      <w:tblPr>
        <w:tblStyle w:val="TableGrid"/>
        <w:tblW w:type="dxa" w:w="9360"/>
        <w:jc w:val="left"/>
        <w:tblLayout w:type="fixed"/>
        <w:tblLook w:firstColumn="1" w:firstRow="1" w:lastColumn="0" w:lastRow="0" w:noHBand="0" w:noVBand="1" w:val="04A0"/>
        <w:tblInd w:w="120" w:type="dxa"/>
      </w:tblPr>
      <w:tblGrid>
        <w:gridCol w:w="650"/>
        <w:gridCol w:w="8710"/>
      </w:tblGrid>
      <w:tr>
        <w:trPr>
          <w:tblHeader w:val="true"/>
          <w:cantSplit/>
        </w:trPr>
        <w:tc>
          <w:tcPr>
            <w:tcW w:type="dxa" w:w="650"/>
            <w:shd w:fill="F2F4F7"/>
            <w:vAlign w:val="center"/>
            <w:tcMar>
              <w:top w:w="80" w:type="dxa"/>
              <w:bottom w:w="80" w:type="dxa"/>
              <w:start w:w="120" w:type="dxa"/>
              <w:end w:w="120" w:type="dxa"/>
            </w:tcMar>
          </w:tcPr>
          <w:p>
            <w:pPr>
              <w:spacing w:after="0"/>
            </w:pPr>
            <w:r>
              <w:rPr>
                <w:rFonts w:ascii="Calibri" w:hAnsi="Calibri"/>
                <w:b/>
                <w:i w:val="0"/>
                <w:color w:val="0B2545"/>
                <w:sz w:val="16"/>
              </w:rPr>
              <w:t>Step</w:t>
            </w:r>
          </w:p>
        </w:tc>
        <w:tc>
          <w:tcPr>
            <w:tcW w:type="dxa" w:w="8710"/>
            <w:shd w:fill="F2F4F7"/>
            <w:vAlign w:val="center"/>
            <w:tcMar>
              <w:top w:w="80" w:type="dxa"/>
              <w:bottom w:w="80" w:type="dxa"/>
              <w:start w:w="120" w:type="dxa"/>
              <w:end w:w="120" w:type="dxa"/>
            </w:tcMar>
          </w:tcPr>
          <w:p>
            <w:pPr>
              <w:spacing w:after="0"/>
            </w:pPr>
            <w:r>
              <w:rPr>
                <w:rFonts w:ascii="Calibri" w:hAnsi="Calibri"/>
                <w:b/>
                <w:i w:val="0"/>
                <w:color w:val="0B2545"/>
                <w:sz w:val="16"/>
              </w:rPr>
              <w:t>Required result</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6"/>
              </w:rPr>
              <w:t>1</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6"/>
              </w:rPr>
              <w:t>Create canonical Account, Investment, SymbolHistory, ActivityType, ImportBatch, SourceTransaction, ActivityEvent, Lot, LotAllocation, EventLink, and AuditAction structures.</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6"/>
              </w:rPr>
              <w:t>2</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6"/>
              </w:rPr>
              <w:t>Import 2024 exact Div rows only, retaining legacy source sheet/row and all original fields.</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6"/>
              </w:rPr>
              <w:t>3</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6"/>
              </w:rPr>
              <w:t>Import 2025 exact Div rows only and reconcile count to 2,846.</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6"/>
              </w:rPr>
              <w:t>4</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6"/>
              </w:rPr>
              <w:t>Import the 2,049 exact 2026 Div rows and retain the 155 separated rows in owner review until individually disposed.</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6"/>
              </w:rPr>
              <w:t>5</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6"/>
              </w:rPr>
              <w:t>Normalize account variants—including Health and FI Roth variants—through approved account mappings while preserving source values.</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6"/>
              </w:rPr>
              <w:t>6</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6"/>
              </w:rPr>
              <w:t>Create and approve WPAY → TOPW symbol history under one stable investment identity; verify the result across every account and lifetime report.</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6"/>
              </w:rPr>
              <w:t>7</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6"/>
              </w:rPr>
              <w:t>Implement CSV/copy-paste staging, duplicate controls, classification review, and immutable finalization.</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6"/>
              </w:rPr>
              <w:t>8</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6"/>
              </w:rPr>
              <w:t>Implement lowest-cost lot proposals plus required broker-lot reconciliation and exception workflow.</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6"/>
              </w:rPr>
              <w:t>9</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6"/>
              </w:rPr>
              <w:t>Implement option lifecycle linking, expiration recognition, assignment/exercise handling, and underlying attribution.</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6"/>
              </w:rPr>
              <w:t>10</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6"/>
              </w:rPr>
              <w:t>Reconcile lifetime dividend totals and selected 2026 realized activity to the source workbook and existing Dashboard baseline.</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6"/>
              </w:rPr>
              <w:t>11</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6"/>
              </w:rPr>
              <w:t>Enable Calculator and downstream reports to consume governed ledger views rather than spreadsheet helper columns.</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6"/>
              </w:rPr>
              <w:t>12</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6"/>
              </w:rPr>
              <w:t>Retire legacy entry only after count, amount, symbol-history, lot, and audit acceptance tests pass; retain read-only source evidence.</w:t>
            </w:r>
          </w:p>
        </w:tc>
      </w:tr>
    </w:tbl>
    <w:p>
      <w:pPr>
        <w:spacing w:after="20"/>
      </w:pPr>
    </w:p>
    <w:p>
      <w:pPr>
        <w:pStyle w:val="Heading1"/>
      </w:pPr>
      <w:r>
        <w:t>14. Acceptance Criteria</w:t>
      </w:r>
    </w:p>
    <w:tbl>
      <w:tblPr>
        <w:tblStyle w:val="TableGrid"/>
        <w:tblW w:type="dxa" w:w="9360"/>
        <w:jc w:val="left"/>
        <w:tblLayout w:type="fixed"/>
        <w:tblLook w:firstColumn="1" w:firstRow="1" w:lastColumn="0" w:lastRow="0" w:noHBand="0" w:noVBand="1" w:val="04A0"/>
        <w:tblInd w:w="120" w:type="dxa"/>
      </w:tblPr>
      <w:tblGrid>
        <w:gridCol w:w="1350"/>
        <w:gridCol w:w="8010"/>
      </w:tblGrid>
      <w:tr>
        <w:trPr>
          <w:tblHeader w:val="true"/>
          <w:cantSplit/>
        </w:trPr>
        <w:tc>
          <w:tcPr>
            <w:tcW w:type="dxa" w:w="1350"/>
            <w:shd w:fill="F2F4F7"/>
            <w:vAlign w:val="center"/>
            <w:tcMar>
              <w:top w:w="80" w:type="dxa"/>
              <w:bottom w:w="80" w:type="dxa"/>
              <w:start w:w="120" w:type="dxa"/>
              <w:end w:w="120" w:type="dxa"/>
            </w:tcMar>
          </w:tcPr>
          <w:p>
            <w:pPr>
              <w:spacing w:after="0"/>
            </w:pPr>
            <w:r>
              <w:rPr>
                <w:rFonts w:ascii="Calibri" w:hAnsi="Calibri"/>
                <w:b/>
                <w:i w:val="0"/>
                <w:color w:val="0B2545"/>
                <w:sz w:val="16"/>
              </w:rPr>
              <w:t>ID</w:t>
            </w:r>
          </w:p>
        </w:tc>
        <w:tc>
          <w:tcPr>
            <w:tcW w:type="dxa" w:w="8010"/>
            <w:shd w:fill="F2F4F7"/>
            <w:vAlign w:val="center"/>
            <w:tcMar>
              <w:top w:w="80" w:type="dxa"/>
              <w:bottom w:w="80" w:type="dxa"/>
              <w:start w:w="120" w:type="dxa"/>
              <w:end w:w="120" w:type="dxa"/>
            </w:tcMar>
          </w:tcPr>
          <w:p>
            <w:pPr>
              <w:spacing w:after="0"/>
            </w:pPr>
            <w:r>
              <w:rPr>
                <w:rFonts w:ascii="Calibri" w:hAnsi="Calibri"/>
                <w:b/>
                <w:i w:val="0"/>
                <w:color w:val="0B2545"/>
                <w:sz w:val="16"/>
              </w:rPr>
              <w:t>Acceptance criterion</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AC-ROI-01</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2024 and 2025 migration contains only exact Div rows; no other prior-year transaction data is present.</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AC-ROI-02</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2025 imported dividend count reconciles to 2,846 and 2026 exact Div count reconciles to 2,049.</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AC-ROI-03</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All 155 non-Div 2026 rows remain traceable to a review decision; none is silently classified.</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AC-ROI-04</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Re-importing the same broker data creates no duplicate finalized event.</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AC-ROI-05</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Every finalized event retains import batch, source identity, original account, original symbol, dates, amounts, and raw description/code.</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AC-ROI-06</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A dividend is stored as a dividend cash event without fictional sale, cost basis, or Quantity = 1 semantics.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AC-ROI-07</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A worthless covered call/CSP expiration recognizes the full net premium on the expiration date.</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AC-ROI-08</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Assignment/exercise produces separately visible linked option and stock events.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AC-ROI-09</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No stock/ETF sale reaches finalized lot-level ROI until broker lot allocation is reconciled.</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AC-ROI-10</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The lot proposal ranks lowest cost first and never substitutes FIFO without evidence.</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AC-ROI-11</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A correction preserves the original event and creates a complete reversal/correction audit chain.</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AC-ROI-12</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WPAY transactions report under current symbol TOPW after approval in every account while retaining WPAY in source drilldown.</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AC-ROI-13</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A suspected ticker change produces a proposal only; no historical consolidation occurs before approval.</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AC-ROI-14</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An approved ticker change recalculates affected reports immediately and records affected records and outcome in the audit log.</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AC-ROI-15</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An incorrect ticker mapping can be reversed without deleting its prior approval history.</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AC-ROI-16</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Standard investment reporting uses actual price paid and separate distributions; optional ROC tax basis cannot alter it.</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AC-ROI-17</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Lifetime realized performance reconciles to its five visible activity components and excludes gross sale proceeds.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AC-ROI-18</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Month, year, and holding period reproduce source reporting where applicable from canonical dates.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AC-ROI-19</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No ROI report contains SSA, 1099 work income, withdrawals, transfers, or general expenses.</w:t>
            </w:r>
          </w:p>
        </w:tc>
      </w:tr>
      <w:tr>
        <w:trPr>
          <w:cantSplit/>
        </w:trPr>
        <w:tc>
          <w:tcPr>
            <w:tcW w:type="dxa" w:w="1350"/>
            <w:vAlign w:val="center"/>
            <w:tcMar>
              <w:top w:w="80" w:type="dxa"/>
              <w:bottom w:w="80" w:type="dxa"/>
              <w:start w:w="120" w:type="dxa"/>
              <w:end w:w="120" w:type="dxa"/>
            </w:tcMar>
          </w:tcPr>
          <w:p>
            <w:pPr>
              <w:spacing w:after="0" w:line="252" w:lineRule="auto"/>
            </w:pPr>
            <w:r>
              <w:rPr>
                <w:rFonts w:ascii="Calibri" w:hAnsi="Calibri"/>
                <w:b w:val="0"/>
                <w:i w:val="0"/>
                <w:color w:val="0B2545"/>
                <w:sz w:val="16"/>
              </w:rPr>
              <w:t>AC-ROI-20</w:t>
            </w:r>
          </w:p>
        </w:tc>
        <w:tc>
          <w:tcPr>
            <w:tcW w:type="dxa" w:w="8010"/>
            <w:vAlign w:val="center"/>
            <w:tcMar>
              <w:top w:w="80" w:type="dxa"/>
              <w:bottom w:w="80" w:type="dxa"/>
              <w:start w:w="120" w:type="dxa"/>
              <w:end w:w="120" w:type="dxa"/>
            </w:tcMar>
          </w:tcPr>
          <w:p>
            <w:pPr>
              <w:spacing w:after="0" w:line="252" w:lineRule="auto"/>
            </w:pPr>
            <w:r>
              <w:rPr>
                <w:rFonts w:ascii="Calibri" w:hAnsi="Calibri"/>
                <w:b w:val="0"/>
                <w:i w:val="0"/>
                <w:color w:val="0B2545"/>
                <w:sz w:val="16"/>
              </w:rPr>
              <w:t>A reviewer can drill from any current-symbol total to original transactions, symbol history, lot evidence, and automated-action history.</w:t>
            </w:r>
          </w:p>
        </w:tc>
      </w:tr>
    </w:tbl>
    <w:p>
      <w:pPr>
        <w:spacing w:after="20"/>
      </w:pPr>
    </w:p>
    <w:p>
      <w:pPr>
        <w:pStyle w:val="Heading1"/>
      </w:pPr>
      <w:r>
        <w:t>15. Design Completion Statement</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120" w:type="dxa"/>
              <w:bottom w:w="120" w:type="dxa"/>
              <w:start w:w="120" w:type="dxa"/>
              <w:end w:w="120" w:type="dxa"/>
            </w:tcMar>
            <w:shd w:fill="EAF4E2"/>
          </w:tcPr>
          <w:p>
            <w:pPr>
              <w:spacing w:after="0"/>
            </w:pPr>
            <w:r>
              <w:rPr>
                <w:rFonts w:ascii="Calibri" w:hAnsi="Calibri"/>
                <w:b/>
                <w:i w:val="0"/>
                <w:color w:val="315B24"/>
                <w:sz w:val="22"/>
              </w:rPr>
              <w:t xml:space="preserve">APPROVED — TARGET DESIGN COMPLETE: </w:t>
            </w:r>
            <w:r>
              <w:rPr>
                <w:rFonts w:ascii="Calibri" w:hAnsi="Calibri"/>
                <w:b w:val="0"/>
                <w:i w:val="0"/>
                <w:color w:val="315B24"/>
                <w:sz w:val="22"/>
              </w:rPr>
              <w:t>The ROI tab’s business process, legacy interpretation, migration boundary, transaction model, option lifecycle, lowest-cost lot intention, broker reconciliation, ROC basis treatment, ticker-change governance, automated-action audit log, calculations, reporting, requirements, and acceptance criteria are complete for application design and implementation. No further owner clarification is required for this tab unless implementation uncovers source data that contradicts these documented rules.</w:t>
            </w:r>
          </w:p>
        </w:tc>
      </w:tr>
    </w:tbl>
    <w:p>
      <w:pPr>
        <w:spacing w:after="20"/>
      </w:pPr>
    </w:p>
    <w:p>
      <w:r>
        <w:rPr>
          <w:rFonts w:ascii="Calibri" w:hAnsi="Calibri"/>
          <w:b w:val="0"/>
          <w:i w:val="0"/>
          <w:color w:val="0B2545"/>
          <w:sz w:val="22"/>
        </w:rPr>
        <w:t>This document is the durable as-built-versus-target specification for the ROI domain. It should be consolidated with the completed tab documents during whole-application architecture design; the source workbook remains evidence, not the sole repository of the design.</w:t>
      </w:r>
    </w:p>
    <w:p>
      <w:r>
        <w:rPr>
          <w:rFonts w:ascii="Arial" w:hAnsi="Arial" w:eastAsia="Arial"/>
          <w:b w:val="0"/>
          <w:i w:val="0"/>
          <w:sz w:val="20"/>
        </w:rPr>
      </w:r>
    </w:p>
    <w:p>
      <w:r>
        <w:rPr>
          <w:rFonts w:ascii="Arial" w:hAnsi="Arial" w:eastAsia="Arial"/>
          <w:b/>
          <w:i w:val="0"/>
          <w:color w:val="1F4E79"/>
          <w:sz w:val="24"/>
        </w:rPr>
        <w:t>PROJECT LOCK DISPOSITION — 13 Aug 2026</w:t>
      </w:r>
    </w:p>
    <w:p>
      <w:r>
        <w:rPr>
          <w:rFonts w:ascii="Arial" w:hAnsi="Arial" w:eastAsia="Arial"/>
          <w:b/>
          <w:i w:val="0"/>
          <w:color w:val="006600"/>
          <w:sz w:val="22"/>
        </w:rPr>
        <w:t>Status: LOCKED — DESIGN COMPLETE. Authoritative ROI / Investment Activity Ledger foundation for implementation.</w:t>
      </w:r>
    </w:p>
    <w:p>
      <w:r>
        <w:rPr>
          <w:rFonts w:ascii="Arial" w:hAnsi="Arial" w:eastAsia="Arial"/>
          <w:b w:val="0"/>
          <w:i w:val="0"/>
          <w:sz w:val="20"/>
        </w:rPr>
        <w:t>Accepted with alignment notes (not design changes):</w:t>
      </w:r>
    </w:p>
    <w:p>
      <w:r>
        <w:rPr>
          <w:rFonts w:ascii="Arial" w:hAnsi="Arial" w:eastAsia="Arial"/>
          <w:b w:val="0"/>
          <w:i w:val="0"/>
          <w:sz w:val="20"/>
        </w:rPr>
        <w:t>1. Shared identity: investment_id joins to Position master — one durable identity, not two parallel masters.</w:t>
      </w:r>
    </w:p>
    <w:p>
      <w:r>
        <w:rPr>
          <w:rFonts w:ascii="Arial" w:hAnsi="Arial" w:eastAsia="Arial"/>
          <w:b w:val="0"/>
          <w:i w:val="0"/>
          <w:sz w:val="20"/>
        </w:rPr>
        <w:t>2. Lots remain ownership authority (qty, unit_cost_original, unit_cost_tax). LotAllocation in this domain owns sale↔lot match and realized P/L only.</w:t>
      </w:r>
    </w:p>
    <w:p>
      <w:r>
        <w:rPr>
          <w:rFonts w:ascii="Arial" w:hAnsi="Arial" w:eastAsia="Arial"/>
          <w:b w:val="0"/>
          <w:i w:val="0"/>
          <w:sz w:val="20"/>
        </w:rPr>
        <w:t>3. Migration row counts (2024/2025/2026 Div) reconcile at load against source workbook and Template_Transactions_Yield; small count differences expected from prior cleaning.</w:t>
      </w:r>
    </w:p>
    <w:p>
      <w:r>
        <w:rPr>
          <w:rFonts w:ascii="Arial" w:hAnsi="Arial" w:eastAsia="Arial"/>
          <w:b w:val="0"/>
          <w:i w:val="0"/>
          <w:sz w:val="20"/>
        </w:rPr>
        <w:t>4. v1 can prioritize Dividend path + import/dedupe/identity; option lifecycle and full lot-sale reconciliation follow without reopening architecture.</w:t>
      </w:r>
    </w:p>
    <w:p>
      <w:r>
        <w:rPr>
          <w:rFonts w:ascii="Arial" w:hAnsi="Arial" w:eastAsia="Arial"/>
          <w:b w:val="0"/>
          <w:i w:val="0"/>
          <w:sz w:val="20"/>
        </w:rPr>
        <w:t>5. SSA, 1099 work income, withdrawals, transfers, expenses remain outside this ledger (Disbursement / other domains).</w:t>
      </w:r>
    </w:p>
    <w:p>
      <w:r>
        <w:rPr>
          <w:rFonts w:ascii="Arial" w:hAnsi="Arial" w:eastAsia="Arial"/>
          <w:b w:val="0"/>
          <w:i/>
          <w:sz w:val="20"/>
        </w:rPr>
        <w:t>Core locks preserved: actual price paid for performance; ROC does not rewrite economic cost; lowest-cost proposal never silent FIFO; broker lot required to finalize; ticker change only after owner approval; immutable events with linked corrections.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B6573"/>
        <w:sz w:val="18"/>
      </w:rPr>
      <w:t>Finance Management Application | ROI and Investment Activity Ledger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line="252"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ROI and Investment Activity Ledger — Complete Target Architecture</dc:title>
  <dc:subject>Finance Management Application design specification</dc:subject>
  <dc:creator>OpenAI</dc:creator>
  <cp:keywords/>
  <dc:description>Approved ROI tab design finalized 13 August 2026.</dc:description>
  <cp:lastModifiedBy/>
  <cp:revision>1</cp:revision>
  <dcterms:created xsi:type="dcterms:W3CDTF">2013-12-23T23:15:00Z</dcterms:created>
  <dcterms:modified xsi:type="dcterms:W3CDTF">2013-12-23T23:15:00Z</dcterms:modified>
  <cp:category/>
</cp:coreProperties>
</file>