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SIGC v1.0 - Documento 9</w:t>
      </w:r>
    </w:p>
    <w:p>
      <w:pPr>
        <w:spacing w:after="100"/>
      </w:pPr>
      <w:r>
        <w:rPr>
          <w:b/>
          <w:bCs/>
          <w:sz w:val="26"/>
          <w:szCs w:val="26"/>
        </w:rPr>
        <w:t xml:space="preserve">Arquitectura Definitiva del Backend</w:t>
      </w:r>
    </w:p>
    <w:p>
      <w:pPr>
        <w:spacing w:after="100"/>
      </w:pPr>
      <w:r>
        <w:rPr>
          <w:i/>
          <w:iCs/>
          <w:color w:val="888888"/>
        </w:rPr>
        <w:t xml:space="preserve">(Reemplaza la versión basada en Node.js + Express)</w:t>
      </w:r>
    </w:p>
    <w:p>
      <w:pPr>
        <w:pStyle w:val="Heading1"/>
        <w:spacing w:after="150" w:before="300"/>
      </w:pPr>
      <w:r>
        <w:t xml:space="preserve">Tecnologías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Laravel (PHP 8.x)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MySQL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Eloquent ORM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Laravel Sanctum — autenticación mediante tokens de API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Hash de contraseñas: bcrypt (nativo de Laravel)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Laravel Mail — envío de correos (alertas, notificaciones)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Laravel Scheduler + Jobs/Queues — tareas programadas (vencimientos, recordatorios)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Laravel Storage — almacenamiento de archivos (fotografías de vallas, documentos de contratos)</w:t>
      </w:r>
    </w:p>
    <w:p>
      <w:pPr>
        <w:pStyle w:val="Heading1"/>
        <w:spacing w:after="150" w:before="300"/>
      </w:pPr>
      <w:r>
        <w:t xml:space="preserve">Estructura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backend/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├─ app/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   ├─ Console/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   ├─ Http/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   │   ├─ Controllers/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   │   ├─ Middleware/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   │   ├─ Requests/        (Form Requests — validación de entrada)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   │   └─ Resources/       (transformación de respuestas JSON)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   ├─ Models/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   ├─ Services/            (lógica de negocio)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   ├─ Policies/            (permisos por rol)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   ├─ Providers/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   ├─ Mail/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   ├─ Notifications/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   └─ Jobs/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├─ database/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   ├─ migrations/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   ├─ seeders/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   └─ factories/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├─ routes/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   ├─ api.php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   └─ console.php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│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├─ storage/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├─ tests/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├─ config/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├─ .env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├─ artisan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├─ composer.json</w:t>
      </w:r>
    </w:p>
    <w:p>
      <w:pPr>
        <w:spacing w:after="20"/>
      </w:pPr>
      <w:r>
        <w:rPr>
          <w:rFonts w:ascii="Consolas" w:cs="Consolas" w:eastAsia="Consolas" w:hAnsi="Consolas"/>
        </w:rPr>
        <w:t xml:space="preserve">└─ README.md</w:t>
      </w:r>
    </w:p>
    <w:p>
      <w:pPr>
        <w:pStyle w:val="Heading1"/>
        <w:spacing w:after="150" w:before="300"/>
      </w:pPr>
      <w:r>
        <w:t xml:space="preserve">Responsabilidad de cada carpeta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Carpeta</w:t>
            </w:r>
          </w:p>
        </w:tc>
        <w:tc>
          <w:tcPr>
            <w:tcW w:type="dxa" w:w="45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Responsabilidad</w:t>
            </w:r>
          </w:p>
        </w:tc>
      </w:tr>
      <w:tr>
        <w:tc>
          <w:tcPr>
            <w:tcW w:type="dxa" w:w="4500"/>
          </w:tcPr>
          <w:p>
            <w:r>
              <w:t xml:space="preserve">Controllers</w:t>
            </w:r>
          </w:p>
        </w:tc>
        <w:tc>
          <w:tcPr>
            <w:tcW w:type="dxa" w:w="4500"/>
          </w:tcPr>
          <w:p>
            <w:r>
              <w:t xml:space="preserve">Reciben la petición HTTP, delegan a Services, devuelven una Resource.</w:t>
            </w:r>
          </w:p>
        </w:tc>
      </w:tr>
      <w:tr>
        <w:tc>
          <w:tcPr>
            <w:tcW w:type="dxa" w:w="4500"/>
          </w:tcPr>
          <w:p>
            <w:r>
              <w:t xml:space="preserve">Requests</w:t>
            </w:r>
          </w:p>
        </w:tc>
        <w:tc>
          <w:tcPr>
            <w:tcW w:type="dxa" w:w="4500"/>
          </w:tcPr>
          <w:p>
            <w:r>
              <w:t xml:space="preserve">Validan los datos de entrada antes de llegar al Controller.</w:t>
            </w:r>
          </w:p>
        </w:tc>
      </w:tr>
      <w:tr>
        <w:tc>
          <w:tcPr>
            <w:tcW w:type="dxa" w:w="4500"/>
          </w:tcPr>
          <w:p>
            <w:r>
              <w:t xml:space="preserve">Services</w:t>
            </w:r>
          </w:p>
        </w:tc>
        <w:tc>
          <w:tcPr>
            <w:tcW w:type="dxa" w:w="4500"/>
          </w:tcPr>
          <w:p>
            <w:r>
              <w:t xml:space="preserve">Contienen toda la lógica de negocio (reglas de vallas, contratos, reservas, etc.).</w:t>
            </w:r>
          </w:p>
        </w:tc>
      </w:tr>
      <w:tr>
        <w:tc>
          <w:tcPr>
            <w:tcW w:type="dxa" w:w="4500"/>
          </w:tcPr>
          <w:p>
            <w:r>
              <w:t xml:space="preserve">Models</w:t>
            </w:r>
          </w:p>
        </w:tc>
        <w:tc>
          <w:tcPr>
            <w:tcW w:type="dxa" w:w="4500"/>
          </w:tcPr>
          <w:p>
            <w:r>
              <w:t xml:space="preserve">Acceso a la base de datos mediante Eloquent. Relaciones entre entidades.</w:t>
            </w:r>
          </w:p>
        </w:tc>
      </w:tr>
      <w:tr>
        <w:tc>
          <w:tcPr>
            <w:tcW w:type="dxa" w:w="4500"/>
          </w:tcPr>
          <w:p>
            <w:r>
              <w:t xml:space="preserve">Resources</w:t>
            </w:r>
          </w:p>
        </w:tc>
        <w:tc>
          <w:tcPr>
            <w:tcW w:type="dxa" w:w="4500"/>
          </w:tcPr>
          <w:p>
            <w:r>
              <w:t xml:space="preserve">Dan forma a la respuesta JSON que se envía al frontend.</w:t>
            </w:r>
          </w:p>
        </w:tc>
      </w:tr>
      <w:tr>
        <w:tc>
          <w:tcPr>
            <w:tcW w:type="dxa" w:w="4500"/>
          </w:tcPr>
          <w:p>
            <w:r>
              <w:t xml:space="preserve">Policies</w:t>
            </w:r>
          </w:p>
        </w:tc>
        <w:tc>
          <w:tcPr>
            <w:tcW w:type="dxa" w:w="4500"/>
          </w:tcPr>
          <w:p>
            <w:r>
              <w:t xml:space="preserve">Autorización — qué puede hacer cada rol sobre cada recurso.</w:t>
            </w:r>
          </w:p>
        </w:tc>
      </w:tr>
      <w:tr>
        <w:tc>
          <w:tcPr>
            <w:tcW w:type="dxa" w:w="4500"/>
          </w:tcPr>
          <w:p>
            <w:r>
              <w:t xml:space="preserve">Middleware</w:t>
            </w:r>
          </w:p>
        </w:tc>
        <w:tc>
          <w:tcPr>
            <w:tcW w:type="dxa" w:w="4500"/>
          </w:tcPr>
          <w:p>
            <w:r>
              <w:t xml:space="preserve">Autenticación (Sanctum), verificación de permisos, CORS.</w:t>
            </w:r>
          </w:p>
        </w:tc>
      </w:tr>
      <w:tr>
        <w:tc>
          <w:tcPr>
            <w:tcW w:type="dxa" w:w="4500"/>
          </w:tcPr>
          <w:p>
            <w:r>
              <w:t xml:space="preserve">Jobs / Console</w:t>
            </w:r>
          </w:p>
        </w:tc>
        <w:tc>
          <w:tcPr>
            <w:tcW w:type="dxa" w:w="4500"/>
          </w:tcPr>
          <w:p>
            <w:r>
              <w:t xml:space="preserve">Tareas programadas: alertas de vencimiento, liberación automática de reservas vencidas.</w:t>
            </w:r>
          </w:p>
        </w:tc>
      </w:tr>
      <w:tr>
        <w:tc>
          <w:tcPr>
            <w:tcW w:type="dxa" w:w="4500"/>
          </w:tcPr>
          <w:p>
            <w:r>
              <w:t xml:space="preserve">Mail</w:t>
            </w:r>
          </w:p>
        </w:tc>
        <w:tc>
          <w:tcPr>
            <w:tcW w:type="dxa" w:w="4500"/>
          </w:tcPr>
          <w:p>
            <w:r>
              <w:t xml:space="preserve">Plantillas y envío de correos automáticos.</w:t>
            </w:r>
          </w:p>
        </w:tc>
      </w:tr>
    </w:tbl>
    <w:p>
      <w:pPr>
        <w:pStyle w:val="Heading1"/>
        <w:spacing w:after="150" w:before="300"/>
      </w:pPr>
      <w:r>
        <w:t xml:space="preserve">Reglas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Las rutas nunca contienen lógica de negocio; solo apuntan a un Controller.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Los Controllers nunca acceden directamente a Eloquent; delegan en un Service.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Toda la lógica de negocio vive en Services.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Todas las respuestas son JSON, dando forma mediante Resources.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Todas las operaciones importantes se registran en la bitácora (tabla `bitacora`).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 módulo del frontend consume únicamente la API — nunca la base de datos.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Los códigos de valla son inmutables: no se generan de nuevo ni se editan una vez creados.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Ninguna valla se elimina físicamente; se cambia su estado (soft delete / estado Inactivo).</w:t>
      </w:r>
    </w:p>
    <w:p>
      <w:pPr>
        <w:pStyle w:val="Heading1"/>
        <w:spacing w:after="150" w:before="300"/>
      </w:pPr>
      <w:r>
        <w:t xml:space="preserve">Autenticación</w:t>
      </w:r>
    </w:p>
    <w:p>
      <w:pPr>
        <w:spacing w:after="100"/>
      </w:pPr>
      <w:r>
        <w:t xml:space="preserve">Laravel Sanctum, en modalidad de tokens de API (Bearer Token), dado que frontend y backend están completamente desacoplados y pueden residir en dominios distintos. El frontend almacena el token recibido en el login y lo envía en el header Authorization de cada petición.</w:t>
      </w:r>
    </w:p>
    <w:p>
      <w:pPr>
        <w:pStyle w:val="Heading1"/>
        <w:spacing w:after="150" w:before="300"/>
      </w:pPr>
      <w:r>
        <w:t xml:space="preserve">Decisiones Congeladas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 REST.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Laravel Sanctum para autenticación.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independiente del Frontend.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MySQL como base de datos.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Arquitectura por capas: Routes → Controllers → Services → Models (Eloquent).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Laravel Scheduler/Jobs para automatizaciones (reemplaza cualquier herramienta externa de colas).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2026-07-21T00:37:06.212Z</dcterms:created>
  <dcterms:modified xsi:type="dcterms:W3CDTF">2026-07-21T00:37:06.212Z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