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Báo cáo Nghiên cứu: Khung Thiết kế Heuristic Thích ứng cho Tối ưu hóa Tổ hợp Đa mục tiêu dựa trên Mô hình Ngôn ngữ Lớn và Toán tử Đa tay quay có Ràng buộc Ngân sách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Giới thiệu và Bối cảnh Nghiên cứu Chuyên sâu</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Các bài toán Tối ưu hóa Tổ hợp Đa mục tiêu (Multi-Objective Combinatorial Optimization Problems - MOCOP) đóng một vai trò trung tâm và mang tính nền tảng trong nhiều lĩnh vực kỹ thuật và ứng dụng công nghiệp thực tiễn. Từ các hệ thống định tuyến xe cộ phức tạp (Vehicle Routing Problem), lập kế hoạch sản xuất trong nhà máy, cho đến thiết kế mạng lưới viễn thông, đặc trưng cốt lõi của các bài toán này là sự tồn tại của nhiều mục tiêu xung đột lẫn nhau cần được tối ưu hóa đồng thời.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Khác với các bài toán tối ưu hóa đơn mục tiêu nơi hệ thống chỉ cần tìm ra một nghiệm tối ưu duy nhất, giải pháp cho MOCOP yêu cầu việc xác định một tập hợp các nghiệm thỏa hiệp, được gọi là tập Pareto (Pareto set) hoặc đường biên Pareto (Pareto front).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Do bản chất độ phức tạp tính toán thuộc lớp NP-hard của phần lớn các bài toán MOCOP, việc áp dụng các thuật toán chính xác để duyệt toàn bộ không gian nghiệm là hoàn toàn không khả thi về mặt thời gian, đặc biệt là đối với các bộ dữ liệu có kích thước lớn trong thực tế.</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Sự hạn chế của các phương pháp chính xác đã thúc đẩy sự phát triển mạnh mẽ của các thuật toán tiến hóa đa mục tiêu (Multi-Objective Evolutionary Algorithms - MOEAs) và các phương pháp siêu heuristic như NSGA-II, MOEA/D, và SEMO (Simple Evolutionary Multiobjective Optimization).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Mặc dù các phương pháp này đã chứng minh được hiệu quả trong việc duy trì tính đa dạng của quần thể và hội tụ về đường biên Pareto, chúng vẫn tồn tại những hạn chế cố hữu. Các thuật toán này thường phụ thuộc rất lớn vào kiến thức chuyên gia (domain knowledge) để thiết kế các toán tử lai ghép (crossover) và đột biến (mutation) đặc thù cho từng bài toán, đồng thời đòi hỏi quá trình tinh chỉnh tham số (parameter tuning) lặp đi lặp lại vô cùng tốn kém.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Sự thiếu linh hoạt này làm giảm khả năng tổng quát hóa của thuật toán khi áp dụng lên các phiên bản MOCOP chưa từng gặp trước đây.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Trong những năm gần đây, sự trỗi dậy của Mô hình Ngôn ngữ Lớn (Large Language Models - LLMs) đã mở ra một kỷ nguyên mới cho việc tự động hóa thiết kế thuật toán, hay còn gọi là Tự động Thiết kế Heuristic (Automated Heuristic Design - AHD).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Tận dụng khả năng xử lý ngôn ngữ tự nhiên vượt trội và năng lực tổng hợp mã nguồn (code synthesis), LLM có thể đóng vai trò như một chuyên gia tối ưu hóa, tự động phân tích mô tả bài toán và trực tiếp sinh ra các hàm heuristic hoàn chỉnh bằng ngôn ngữ lập trình (như Python).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Các khung nghiên cứu tiên phong như EoH (Evolution of Heuristics) hay ReEvo đã chứng minh rằng LLM có thể kết hợp với các chiến lược tiến hóa để lặp đi lặp lại việc tạo ra, đánh giá và tinh chỉnh các chương trình giải quyết bài toán với sự can thiệp tối thiểu của con người.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Tuy nhiên, phần lớn các nghiên cứu hiện tại chỉ tập trung vào các bài toán đơn mục tiêu, bỏ qua những thách thức phức tạp về tính đa dạng và cấu trúc thỏa hiệp vốn có của các bài toán đa mục tiêu. Hơn nữa, việc gọi LLM liên tục trong quá trình tiến hóa đặt ra một gánh nặng khổng lồ về tài nguyên tính toán và chi phí tài chính, một vấn đề vẫn chưa được giải quyết triệt để trong các kiến trúc hiện hành.</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Phân tích Phê bình Khung MPaGE và Xác thực Cơ sở Giả thuyết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xây dựng một đề tài nghiên cứu chặt chẽ, việc đầu tiên cần thực hiện là phân tích đối chiếu các giả thuyết được đưa ra với cơ chế hoạt động thực tế của khung MPaGE (Multi-heuristics for MOCOP via Pareto-Grid-guided Evolution of LLMs) được trình bày trong tài liệu gốc. Các phân tích dưới đây sẽ bóc tách từng thành phần của MPaGE, xác nhận tính chính xác của các nhận định và làm rõ những lỗ hổng toán học trong quy trình hiện tại.</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Quá trình Sinh Heuristic và Lưới Pareto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Khung MPaGE thực sự vận hành dựa trên cơ chế sử dụng LLM để sinh ra các đoạn mã heuristic giải quyết các bài toán MOCOP.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Quá trình này bắt đầu bằng việc khởi tạo một quần thể các heuristic thông qua các câu lệnh (prompts) mô tả đặc tả bài toán. Mỗi heuristic sau đó được đánh giá qua một hàm đa tiêu chí (Multi-Criteria Evaluation Function), thường bao gồm chất lượng giải pháp đo bằng siêu khối lượng âm (negative hypervolume) và hiệu quả tính toán đo bằng thời gian chạy.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định hướng quá trình tiến hóa và duy trì sự đa dạng, MPaGE sử dụng kỹ thuật Lưới Tiền phương Pareto (Pareto Front Grid - PFG).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Không gian mục tiêu được chuẩn hóa và chia thành các ô lưới (grid cells). Bằng cách ánh xạ mỗi heuristic vào một ô lưới dựa trên giá trị mục tiêu của nó và chỉ giữ lại các đại diện không bị thống trị (non-dominated) trong mỗi ô, hệ thống xây dựng được một tập hợp tinh hoa (elite set) mang tính đại diện cao cho toàn bộ không gian tìm kiếm.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Cơ chế này giúp thuật toán tập trung vào các vùng hứa hẹn và ngăn chặn sự hội tụ sớm vào một khu vực hẹp của đường biên Pareto. Giả thuyết về việc bài báo sử dụng Lưới Pareto để tập hợp và chọn lọc quần thể là hoàn toàn chính xác.</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Phân cụm Ngữ nghĩa bằng Mô hình Ngôn ngữ</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Một trong những đóng góp cốt lõi của MPaGE là việc ứng dụng LLM vào quá trình Phân cụm Ngữ nghĩa (Semantic Clustering).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Trong các MOEAs truyền thống hoặc các phương pháp dùng Cây cú pháp trừu tượng (Abstract Syntax Trees - ASTs), hệ thống thường đánh giá sự khác biệt của các heuristic dựa trên cấu trúc bề mặt của mã nguồn.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Điều này dẫn đến sai lầm khi hai đoạn mã có cấu trúc lập trình khác nhau nhưng lại thực thi cùng một logic toán học (semantic redundancy). MPaGE khắc phục điều này bằng cách yêu cầu LLM phân tích logic của tập hợp tinh hoa và phân nhóm chúng thành các cụm </w:t>
      </w:r>
      <w:r w:rsidDel="00000000" w:rsidR="00000000" w:rsidRPr="00000000">
        <w:rPr>
          <w:rFonts w:ascii="Google Sans" w:cs="Google Sans" w:eastAsia="Google Sans" w:hAnsi="Google Sans"/>
        </w:rPr>
        <w:drawing>
          <wp:inline distB="19050" distT="19050" distL="19050" distR="19050">
            <wp:extent cx="1065461" cy="228313"/>
            <wp:effectExtent b="0" l="0" r="0" t="0"/>
            <wp:docPr id="61"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1065461" cy="228313"/>
                    </a:xfrm>
                    <a:prstGeom prst="rect"/>
                    <a:ln/>
                  </pic:spPr>
                </pic:pic>
              </a:graphicData>
            </a:graphic>
          </wp:inline>
        </w:drawing>
      </w:r>
      <w:r w:rsidDel="00000000" w:rsidR="00000000" w:rsidRPr="00000000">
        <w:rPr>
          <w:rFonts w:ascii="Google Sans" w:cs="Google Sans" w:eastAsia="Google Sans" w:hAnsi="Google Sans"/>
          <w:rtl w:val="0"/>
        </w:rPr>
        <w:t xml:space="preserve"> sao cho các heuristic trong cùng một cụm chia sẻ chung một nguyên lý hoạt động.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Sau khi phân cụm, hệ thống tiến hành quá trình biến dị. Thuật toán phân biệt rõ ràng giữa Đột biến (Mutation) – tạo ra các biến thể cục bộ bên trong một cụm, và Lai ghép (Crossover) – kết hợp các hành vi chéo giữa các cụm khác nhau để thúc đẩy tính đa dạng ngữ nghĩa.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Sau khi các heuristic con được tạo ra, chúng được đánh giá, tập hợp lại, và hệ thống sẽ loại bỏ các cá thể bị thống trị để hình thành quần thể mới cho thế hệ tiếp theo.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Quy trình này khớp hoàn toàn với mô tả cấu trúc hệ thống đã được phân tích.</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Phân tích Điểm nghẽn: Sự Cào bằng trong Lựa chọn và Lãng phí Tài nguyên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Mặc dù kiến trúc của MPaGE mang tính đột phá, việc đi sâu vào các phương trình toán học của bài báo đã xác nhận một điểm yếu chí mạng liên quan đến việc phân bổ tài nguyên, đúng như giả thuyết đã nêu.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Thứ nhất, liên quan đến tỷ lệ lựa chọn giữa Crossover và Mutation: Hệ thống sử dụng một hằng số xác suất </w:t>
      </w:r>
      <w:r w:rsidDel="00000000" w:rsidR="00000000" w:rsidRPr="00000000">
        <w:rPr>
          <w:rFonts w:ascii="Google Sans" w:cs="Google Sans" w:eastAsia="Google Sans" w:hAnsi="Google Sans"/>
        </w:rPr>
        <w:drawing>
          <wp:inline distB="19050" distT="19050" distL="19050" distR="19050">
            <wp:extent cx="105668" cy="230548"/>
            <wp:effectExtent b="0" l="0" r="0" t="0"/>
            <wp:docPr id="6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05668" cy="230548"/>
                    </a:xfrm>
                    <a:prstGeom prst="rect"/>
                    <a:ln/>
                  </pic:spPr>
                </pic:pic>
              </a:graphicData>
            </a:graphic>
          </wp:inline>
        </w:drawing>
      </w:r>
      <w:r w:rsidDel="00000000" w:rsidR="00000000" w:rsidRPr="00000000">
        <w:rPr>
          <w:rFonts w:ascii="Google Sans" w:cs="Google Sans" w:eastAsia="Google Sans" w:hAnsi="Google Sans"/>
          <w:rtl w:val="0"/>
        </w:rPr>
        <w:t xml:space="preserve"> (trong các thiết lập thực nghiệm thường là </w:t>
      </w:r>
      <w:r w:rsidDel="00000000" w:rsidR="00000000" w:rsidRPr="00000000">
        <w:rPr>
          <w:rFonts w:ascii="Google Sans" w:cs="Google Sans" w:eastAsia="Google Sans" w:hAnsi="Google Sans"/>
        </w:rPr>
        <w:drawing>
          <wp:inline distB="19050" distT="19050" distL="19050" distR="19050">
            <wp:extent cx="587573" cy="227448"/>
            <wp:effectExtent b="0" l="0" r="0" t="0"/>
            <wp:docPr id="62"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587573" cy="227448"/>
                    </a:xfrm>
                    <a:prstGeom prst="rect"/>
                    <a:ln/>
                  </pic:spPr>
                </pic:pic>
              </a:graphicData>
            </a:graphic>
          </wp:inline>
        </w:drawing>
      </w:r>
      <w:r w:rsidDel="00000000" w:rsidR="00000000" w:rsidRPr="00000000">
        <w:rPr>
          <w:rFonts w:ascii="Google Sans" w:cs="Google Sans" w:eastAsia="Google Sans" w:hAnsi="Google Sans"/>
          <w:rtl w:val="0"/>
        </w:rPr>
        <w:t xml:space="preserve">) để quyết định thao tác.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Phương trình biến dị trong tài liệu gốc chỉ ra rằng nếu một biến ngẫu nhiên </w:t>
      </w:r>
      <w:r w:rsidDel="00000000" w:rsidR="00000000" w:rsidRPr="00000000">
        <w:rPr>
          <w:rFonts w:ascii="Google Sans" w:cs="Google Sans" w:eastAsia="Google Sans" w:hAnsi="Google Sans"/>
        </w:rPr>
        <w:drawing>
          <wp:inline distB="19050" distT="19050" distL="19050" distR="19050">
            <wp:extent cx="485626" cy="228530"/>
            <wp:effectExtent b="0" l="0" r="0" t="0"/>
            <wp:docPr id="65"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485626" cy="228530"/>
                    </a:xfrm>
                    <a:prstGeom prst="rect"/>
                    <a:ln/>
                  </pic:spPr>
                </pic:pic>
              </a:graphicData>
            </a:graphic>
          </wp:inline>
        </w:drawing>
      </w:r>
      <w:r w:rsidDel="00000000" w:rsidR="00000000" w:rsidRPr="00000000">
        <w:rPr>
          <w:rFonts w:ascii="Google Sans" w:cs="Google Sans" w:eastAsia="Google Sans" w:hAnsi="Google Sans"/>
          <w:rtl w:val="0"/>
        </w:rPr>
        <w:t xml:space="preserve">, thuật toán sẽ chọn Mutate; ngược lại sẽ chọn Crossover.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Việc cố định tỷ lệ này xuyên suốt quá trình tiến hóa là một cách tiếp cận cứng nhắc. Ở những thế hệ đầu tiên, Crossover có thể hiệu quả hơn trong việc khám phá không gian, trong khi ở những thế hệ cuối, Mutation lại cần thiết để tinh chỉnh. Việc không linh hoạt điều chỉnh tỷ lệ này làm giảm hiệu suất tổng thể của thuật toán.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Thứ hai, và quan trọng hơn, là cơ chế chọn lọc cụm (cluster selection) và heuristic để đưa vào LLM. Theo mô tả trong bài báo, một cụm </w:t>
      </w:r>
      <w:r w:rsidDel="00000000" w:rsidR="00000000" w:rsidRPr="00000000">
        <w:rPr>
          <w:rFonts w:ascii="Google Sans" w:cs="Google Sans" w:eastAsia="Google Sans" w:hAnsi="Google Sans"/>
        </w:rPr>
        <w:drawing>
          <wp:inline distB="19050" distT="19050" distL="19050" distR="19050">
            <wp:extent cx="185589" cy="234428"/>
            <wp:effectExtent b="0" l="0" r="0" t="0"/>
            <wp:docPr id="64"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85589" cy="234428"/>
                    </a:xfrm>
                    <a:prstGeom prst="rect"/>
                    <a:ln/>
                  </pic:spPr>
                </pic:pic>
              </a:graphicData>
            </a:graphic>
          </wp:inline>
        </w:drawing>
      </w:r>
      <w:r w:rsidDel="00000000" w:rsidR="00000000" w:rsidRPr="00000000">
        <w:rPr>
          <w:rFonts w:ascii="Google Sans" w:cs="Google Sans" w:eastAsia="Google Sans" w:hAnsi="Google Sans"/>
          <w:rtl w:val="0"/>
        </w:rPr>
        <w:t xml:space="preserve"> được "chọn ngẫu nhiên" (randomly selected), và đối với toán tử Crossover, heuristic thứ hai </w:t>
      </w:r>
      <w:r w:rsidDel="00000000" w:rsidR="00000000" w:rsidRPr="00000000">
        <w:rPr>
          <w:rFonts w:ascii="Google Sans" w:cs="Google Sans" w:eastAsia="Google Sans" w:hAnsi="Google Sans"/>
        </w:rPr>
        <w:drawing>
          <wp:inline distB="19050" distT="19050" distL="19050" distR="19050">
            <wp:extent cx="150912" cy="226368"/>
            <wp:effectExtent b="0" l="0" r="0" t="0"/>
            <wp:docPr id="69"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150912" cy="226368"/>
                    </a:xfrm>
                    <a:prstGeom prst="rect"/>
                    <a:ln/>
                  </pic:spPr>
                </pic:pic>
              </a:graphicData>
            </a:graphic>
          </wp:inline>
        </w:drawing>
      </w:r>
      <w:r w:rsidDel="00000000" w:rsidR="00000000" w:rsidRPr="00000000">
        <w:rPr>
          <w:rFonts w:ascii="Google Sans" w:cs="Google Sans" w:eastAsia="Google Sans" w:hAnsi="Google Sans"/>
          <w:rtl w:val="0"/>
        </w:rPr>
        <w:t xml:space="preserve"> cũng được lấy mẫu ngẫu nhiên từ phần bù của tập hợp </w:t>
      </w:r>
      <w:r w:rsidDel="00000000" w:rsidR="00000000" w:rsidRPr="00000000">
        <w:rPr>
          <w:rFonts w:ascii="Google Sans" w:cs="Google Sans" w:eastAsia="Google Sans" w:hAnsi="Google Sans"/>
        </w:rPr>
        <w:drawing>
          <wp:inline distB="19050" distT="19050" distL="19050" distR="19050">
            <wp:extent cx="622102" cy="239270"/>
            <wp:effectExtent b="0" l="0" r="0" t="0"/>
            <wp:docPr id="68"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622102" cy="239270"/>
                    </a:xfrm>
                    <a:prstGeom prst="rect"/>
                    <a:ln/>
                  </pic:spPr>
                </pic:pic>
              </a:graphicData>
            </a:graphic>
          </wp:inline>
        </w:drawing>
      </w:r>
      <w:r w:rsidDel="00000000" w:rsidR="00000000" w:rsidRPr="00000000">
        <w:rPr>
          <w:rFonts w:ascii="Google Sans" w:cs="Google Sans" w:eastAsia="Google Sans" w:hAnsi="Google Sans"/>
          <w:rtl w:val="0"/>
        </w:rPr>
        <w:t xml:space="preserve"> thông qua phân phối đều (uniform distribution).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Việc cào bằng xác suất lựa chọn </w:t>
      </w:r>
      <w:r w:rsidDel="00000000" w:rsidR="00000000" w:rsidRPr="00000000">
        <w:rPr>
          <w:rFonts w:ascii="Google Sans" w:cs="Google Sans" w:eastAsia="Google Sans" w:hAnsi="Google Sans"/>
        </w:rPr>
        <w:drawing>
          <wp:inline distB="19050" distT="19050" distL="19050" distR="19050">
            <wp:extent cx="133796" cy="219809"/>
            <wp:effectExtent b="0" l="0" r="0" t="0"/>
            <wp:docPr id="7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33796" cy="219809"/>
                    </a:xfrm>
                    <a:prstGeom prst="rect"/>
                    <a:ln/>
                  </pic:spPr>
                </pic:pic>
              </a:graphicData>
            </a:graphic>
          </wp:inline>
        </w:drawing>
      </w:r>
      <w:r w:rsidDel="00000000" w:rsidR="00000000" w:rsidRPr="00000000">
        <w:rPr>
          <w:rFonts w:ascii="Google Sans" w:cs="Google Sans" w:eastAsia="Google Sans" w:hAnsi="Google Sans"/>
          <w:rtl w:val="0"/>
        </w:rPr>
        <w:t xml:space="preserve"> đối với mọi cụm ngữ nghĩa đồng nghĩa với việc hệ thống đánh giá tiềm năng tiến hóa của mọi cụm là như nhau. Trên thực tế, một số cụm logic có thể chứa các thuật toán kém cỏi, dẫn đến việc LLM liên tục sinh ra các đoạn mã không biên dịch được hoặc tạo ra các nghiệm bị thống trị.</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Thứ ba, giới hạn về số lần gọi LLM (LLM call budget). Mặc dù MPaGE có thiết lập giới hạn về số vòng lặp thế hệ (ví dụ: 20 thế hệ) và kích thước quần thể (ví dụ: 10)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nhưng không có một cơ chế quản lý ngân sách gọi API độc lập và thông minh nào được đề cập. Hệ thống sẽ cạn kiệt tài nguyên theo một tiến độ thời gian cố định, bất chấp việc tài nguyên đó có đang được đầu tư vào các nhánh tiến hóa vô ích hay không.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Việc này không chỉ tốn kém về mặt tài nguyên hệ thống và chi phí API mà còn chứng tỏ sự thiếu hụt trong việc quản trị rủi ro tính toán, một yếu tố then chốt khi triển khai hệ thống trong môi trường thực tế.</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Việc giới hạn tổng số lần gọi LLM xuống một số tự nhiên </w:t>
      </w:r>
      <w:r w:rsidDel="00000000" w:rsidR="00000000" w:rsidRPr="00000000">
        <w:rPr>
          <w:rFonts w:ascii="Google Sans" w:cs="Google Sans" w:eastAsia="Google Sans" w:hAnsi="Google Sans"/>
        </w:rPr>
        <w:drawing>
          <wp:inline distB="19050" distT="19050" distL="19050" distR="19050">
            <wp:extent cx="149275" cy="223912"/>
            <wp:effectExtent b="0" l="0" r="0" t="0"/>
            <wp:docPr id="7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rtl w:val="0"/>
        </w:rPr>
        <w:t xml:space="preserve"> hữu hạn và yêu cầu thuật toán tối ưu hóa trong giới hạn đó là một yêu cầu khoa học hoàn toàn chính đáng và cấp thiết.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Nền tảng Lý thuyết Tích hợp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giải quyết bài toán lựa chọn heuristic một cách thông minh và tối ưu hóa ngân sách LLM, đề tài yêu cầu sự giao thoa của nhiều khuôn khổ lý thuyết nâng cao. Phần này sẽ xây dựng nền tảng cho việc ứng dụng lý thuyết Đa tay quay (Multi-Armed Bandit) vào thiết kế heuristic đa mục tiêu.</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Lựa chọn Toán tử Thích ứng trong Thuật toán Tiến hóa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Khái niệm Lựa chọn Toán tử Thích ứng (Adaptive Operator Selection - AOS) xuất phát từ nhu cầu thay thế việc tinh chỉnh tham số tĩnh bằng cơ chế điều khiển tự động trong quá trình chạy (on-the-fly).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Trong các thuật toán tiến hóa tiêu chuẩn, người dùng phải xác định trước tần suất sử dụng các toán tử. Ngược lại, AOS liên tục theo dõi hiệu suất của từng toán tử và điều chỉnh xác suất áp dụng chúng dựa trên nguyên tắc học máy.</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Một hệ thống AOS bao gồm hai thành phần cốt lõi không thể tách rời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Cơ chế Phân bổ Tín dụng (Credit Assignment Mechanism):</w:t>
      </w:r>
      <w:r w:rsidDel="00000000" w:rsidR="00000000" w:rsidRPr="00000000">
        <w:rPr>
          <w:rFonts w:ascii="Google Sans" w:cs="Google Sans" w:eastAsia="Google Sans" w:hAnsi="Google Sans"/>
          <w:rtl w:val="0"/>
        </w:rPr>
        <w:t xml:space="preserve"> Nhiệm vụ của cơ chế này là lượng hóa chất lượng của một toán tử sau khi nó được áp dụng. Tín dụng (hay phần thưởng) có thể được tính dựa trên sự cải thiện giá trị hàm mục tiêu từ cá thể cha mẹ sang cá thể con. Các nghiên cứu đã chỉ ra rằng việc sử dụng các giá trị trung bình (average) thường kém hiệu quả trong môi trường tiến hóa do độ nhiễu cao, thay vào đó, các phương pháp dựa trên giá trị cực đại (Extreme Value-based) hoặc dựa trên xếp hạng (Rank-based) cung cấp tín hiệu phản hồi ổn định và đáng tin cậy hơn.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Quy tắc Cập nhật và Lựa chọn (Adaptation Rule):</w:t>
      </w:r>
      <w:r w:rsidDel="00000000" w:rsidR="00000000" w:rsidRPr="00000000">
        <w:rPr>
          <w:rFonts w:ascii="Google Sans" w:cs="Google Sans" w:eastAsia="Google Sans" w:hAnsi="Google Sans"/>
          <w:rtl w:val="0"/>
        </w:rPr>
        <w:t xml:space="preserve"> Dựa trên hồ sơ tín dụng đã tích lũy, hệ thống sử dụng các thuật toán ra quyết định như Probability Matching, Adaptive Pursuit, hoặc nổi bật nhất là mô hình Đa tay quay (Multi-Armed Bandit) để quyết định toán tử nào sẽ được kích hoạt ở bước tiếp theo.</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Mô hình Toán học của Bài toán Đa tay quay (Multi-Armed Bandit)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Bài toán Đa tay quay (MAB) là một mô hình học tăng cường (Reinforcement Learning) kinh điển mô phỏng tình thế tiến thoái lưỡng nan giữa việc Khám phá (Exploration) và Khai thác (Exploitation).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Hãy tưởng tượng một tác nhân đứng trước </w:t>
      </w:r>
      <w:r w:rsidDel="00000000" w:rsidR="00000000" w:rsidRPr="00000000">
        <w:rPr>
          <w:rFonts w:ascii="Google Sans" w:cs="Google Sans" w:eastAsia="Google Sans" w:hAnsi="Google Sans"/>
        </w:rPr>
        <w:drawing>
          <wp:inline distB="19050" distT="19050" distL="19050" distR="19050">
            <wp:extent cx="169664" cy="226219"/>
            <wp:effectExtent b="0" l="0" r="0" t="0"/>
            <wp:docPr id="79"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rtl w:val="0"/>
        </w:rPr>
        <w:t xml:space="preserve"> máy đánh bạc (tay quay). Mỗi máy khi được kéo sẽ trả về một phần thưởng ngẫu nhiên tuân theo một phân phối xác suất chưa biết. Mục tiêu của tác nhân là tối đa hóa tổng phần thưởng tích lũy sau một số lượt chơi nhất định.</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Việc liên tục kéo tay quay có lịch sử trả thưởng cao nhất (Exploitation) có thể dẫn đến rủi ro bỏ lỡ một tay quay khác có phần thưởng thực tế cao hơn nhưng chưa được thử nghiệm đủ nhiều (Exploration).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Thuật toán Upper Confidence Bound (UCB) là một trong những giải pháp thanh lịch và hiệu quả nhất cho bài toán này, đảm bảo giới hạn hối tiếc (regret bound) ở mức logarit.</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Thuật toán lựa chọn tay quay </w:t>
      </w:r>
      <w:r w:rsidDel="00000000" w:rsidR="00000000" w:rsidRPr="00000000">
        <w:rPr>
          <w:rFonts w:ascii="Google Sans" w:cs="Google Sans" w:eastAsia="Google Sans" w:hAnsi="Google Sans"/>
        </w:rPr>
        <w:drawing>
          <wp:inline distB="19050" distT="19050" distL="19050" distR="19050">
            <wp:extent cx="63698" cy="218395"/>
            <wp:effectExtent b="0" l="0" r="0" t="0"/>
            <wp:docPr id="75"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rtl w:val="0"/>
        </w:rPr>
        <w:t xml:space="preserve"> tại thời điểm </w:t>
      </w:r>
      <w:r w:rsidDel="00000000" w:rsidR="00000000" w:rsidRPr="00000000">
        <w:rPr>
          <w:rFonts w:ascii="Google Sans" w:cs="Google Sans" w:eastAsia="Google Sans" w:hAnsi="Google Sans"/>
        </w:rPr>
        <w:drawing>
          <wp:inline distB="19050" distT="19050" distL="19050" distR="19050">
            <wp:extent cx="66675" cy="228600"/>
            <wp:effectExtent b="0" l="0" r="0" t="0"/>
            <wp:docPr id="7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rtl w:val="0"/>
        </w:rPr>
        <w:t xml:space="preserve"> thông qua việc tối đa hóa hàm sau:</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740221"/>
            <wp:effectExtent b="0" l="0" r="0" t="0"/>
            <wp:docPr id="80"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5905500" cy="74022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Trong đó, </w:t>
      </w:r>
      <w:r w:rsidDel="00000000" w:rsidR="00000000" w:rsidRPr="00000000">
        <w:rPr>
          <w:rFonts w:ascii="Google Sans" w:cs="Google Sans" w:eastAsia="Google Sans" w:hAnsi="Google Sans"/>
        </w:rPr>
        <w:drawing>
          <wp:inline distB="19050" distT="19050" distL="19050" distR="19050">
            <wp:extent cx="375196" cy="230890"/>
            <wp:effectExtent b="0" l="0" r="0" t="0"/>
            <wp:docPr id="82"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375196" cy="230890"/>
                    </a:xfrm>
                    <a:prstGeom prst="rect"/>
                    <a:ln/>
                  </pic:spPr>
                </pic:pic>
              </a:graphicData>
            </a:graphic>
          </wp:inline>
        </w:drawing>
      </w:r>
      <w:r w:rsidDel="00000000" w:rsidR="00000000" w:rsidRPr="00000000">
        <w:rPr>
          <w:rFonts w:ascii="Google Sans" w:cs="Google Sans" w:eastAsia="Google Sans" w:hAnsi="Google Sans"/>
          <w:rtl w:val="0"/>
        </w:rPr>
        <w:t xml:space="preserve"> là phần thưởng trung bình thực nghiệm của tay quay </w:t>
      </w:r>
      <w:r w:rsidDel="00000000" w:rsidR="00000000" w:rsidRPr="00000000">
        <w:rPr>
          <w:rFonts w:ascii="Google Sans" w:cs="Google Sans" w:eastAsia="Google Sans" w:hAnsi="Google Sans"/>
        </w:rPr>
        <w:drawing>
          <wp:inline distB="19050" distT="19050" distL="19050" distR="19050">
            <wp:extent cx="63698" cy="218395"/>
            <wp:effectExtent b="0" l="0" r="0" t="0"/>
            <wp:docPr id="84"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rtl w:val="0"/>
        </w:rPr>
        <w:t xml:space="preserve">, đại diện cho sự Khai thác. Thành phần thứ hai là biên độ tin cậy, tỷ lệ nghịch với số lần tay quay </w:t>
      </w:r>
      <w:r w:rsidDel="00000000" w:rsidR="00000000" w:rsidRPr="00000000">
        <w:rPr>
          <w:rFonts w:ascii="Google Sans" w:cs="Google Sans" w:eastAsia="Google Sans" w:hAnsi="Google Sans"/>
        </w:rPr>
        <w:drawing>
          <wp:inline distB="19050" distT="19050" distL="19050" distR="19050">
            <wp:extent cx="63698" cy="218395"/>
            <wp:effectExtent b="0" l="0" r="0" t="0"/>
            <wp:docPr id="86"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rtl w:val="0"/>
        </w:rPr>
        <w:t xml:space="preserve"> đã được kéo (</w:t>
      </w:r>
      <w:r w:rsidDel="00000000" w:rsidR="00000000" w:rsidRPr="00000000">
        <w:rPr>
          <w:rFonts w:ascii="Google Sans" w:cs="Google Sans" w:eastAsia="Google Sans" w:hAnsi="Google Sans"/>
        </w:rPr>
        <w:drawing>
          <wp:inline distB="19050" distT="19050" distL="19050" distR="19050">
            <wp:extent cx="411956" cy="229929"/>
            <wp:effectExtent b="0" l="0" r="0" t="0"/>
            <wp:docPr id="88"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411956" cy="229929"/>
                    </a:xfrm>
                    <a:prstGeom prst="rect"/>
                    <a:ln/>
                  </pic:spPr>
                </pic:pic>
              </a:graphicData>
            </a:graphic>
          </wp:inline>
        </w:drawing>
      </w:r>
      <w:r w:rsidDel="00000000" w:rsidR="00000000" w:rsidRPr="00000000">
        <w:rPr>
          <w:rFonts w:ascii="Google Sans" w:cs="Google Sans" w:eastAsia="Google Sans" w:hAnsi="Google Sans"/>
          <w:rtl w:val="0"/>
        </w:rPr>
        <w:t xml:space="preserve">) và tỷ lệ thuận với tổng số lượt chơi của toàn hệ thống (</w:t>
      </w:r>
      <w:r w:rsidDel="00000000" w:rsidR="00000000" w:rsidRPr="00000000">
        <w:rPr>
          <w:rFonts w:ascii="Google Sans" w:cs="Google Sans" w:eastAsia="Google Sans" w:hAnsi="Google Sans"/>
        </w:rPr>
        <w:drawing>
          <wp:inline distB="19050" distT="19050" distL="19050" distR="19050">
            <wp:extent cx="66675" cy="228600"/>
            <wp:effectExtent b="0" l="0" r="0" t="0"/>
            <wp:docPr id="8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rtl w:val="0"/>
        </w:rPr>
        <w:t xml:space="preserve">), đại diện cho sự Khám phá. Hệ số </w:t>
      </w:r>
      <w:r w:rsidDel="00000000" w:rsidR="00000000" w:rsidRPr="00000000">
        <w:rPr>
          <w:rFonts w:ascii="Google Sans" w:cs="Google Sans" w:eastAsia="Google Sans" w:hAnsi="Google Sans"/>
        </w:rPr>
        <w:drawing>
          <wp:inline distB="19050" distT="19050" distL="19050" distR="19050">
            <wp:extent cx="79921" cy="239762"/>
            <wp:effectExtent b="0" l="0" r="0" t="0"/>
            <wp:docPr id="90"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79921" cy="239762"/>
                    </a:xfrm>
                    <a:prstGeom prst="rect"/>
                    <a:ln/>
                  </pic:spPr>
                </pic:pic>
              </a:graphicData>
            </a:graphic>
          </wp:inline>
        </w:drawing>
      </w:r>
      <w:r w:rsidDel="00000000" w:rsidR="00000000" w:rsidRPr="00000000">
        <w:rPr>
          <w:rFonts w:ascii="Google Sans" w:cs="Google Sans" w:eastAsia="Google Sans" w:hAnsi="Google Sans"/>
          <w:rtl w:val="0"/>
        </w:rPr>
        <w:t xml:space="preserve"> điều chỉnh sự cân bằng giữa hai yếu tố này.</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Tuy nhiên, trong bối cảnh các thuật toán tiến hóa, phân phối phần thưởng của các toán tử không hề cố định (non-stationary).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Một heuristic có thể tạo ra các nghiệm xuất sắc ở đầu quá trình tối ưu nhưng lại hoàn toàn vô dụng khi quần thể đã hội tụ.</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Do đó, việc ứng dụng MAB Động (Dynamic MAB - D-MAB) là yêu cầu bắt buộc. D-MAB tích hợp thuật toán UCB với các phép kiểm định thống kê, chẳng hạn như phép thử Page-Hinkley (PH), để liên tục giám sát chuỗi thời gian của phần thưởng.</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Khi phép thử PH phát hiện sự suy giảm đột ngột hoặc thay đổi cấu trúc trong phân phối phần thưởng của một tay quay, hệ thống sẽ thiết lập lại (reset) bộ nhớ của MAB cho tay quay đó, ngăn chặn hiện tượng "quá tự tin" vào các thông tin lịch sử đã lỗi thời.</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Tích hợp Đa mục tiêu và Ràng buộc Ngân sách vào MAB</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giải quyết bài toán MOCOP bằng LLM với tài nguyên giới hạn, mô hình MAB truyền thống cần được mở rộng theo hai chiều không gian: Đa mục tiêu (Multi-Objective) và Có ràng buộc ngân sách (Budgeted).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Multi-Objective Multi-Armed Bandit (MO-MAB):</w:t>
      </w:r>
      <w:r w:rsidDel="00000000" w:rsidR="00000000" w:rsidRPr="00000000">
        <w:rPr>
          <w:rFonts w:ascii="Google Sans" w:cs="Google Sans" w:eastAsia="Google Sans" w:hAnsi="Google Sans"/>
          <w:rtl w:val="0"/>
        </w:rPr>
        <w:t xml:space="preserve"> Khi bài toán có nhiều mục tiêu, phần thưởng trả về không còn là một giá trị vô hướng (scalar) mà là một vector.</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Mặc dù có thể sử dụng các hàm vô hướng hóa tuyến tính (linear scalarization) để chuyển đổi vector này, phương pháp này gặp khó khăn trong việc khám phá các vùng không lồi (non-convex) của đường biên Pareto.</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Thay vào đó, việc sử dụng các chỉ số đa mục tiêu hợp nhất như Siêu khối lượng (Hypervolume - HV) để làm phần thưởng cho thuật toán học tăng cường đã được chứng minh là vượt trội.</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Chỉ số Hypervolume tính toán thể tích không gian bị chi phối bởi tập hợp Pareto so với một điểm tham chiếu. Khi một tay quay sinh ra một giải pháp mới, phần thưởng của nó chính là phần thể tích tăng thêm (Hypervolume Improvement - HVI) mà giải pháp đó đóng góp vào đường biên Pareto hiện tại.</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Cơ chế này cho phép MAB trực tiếp tối ưu hóa chất lượng tổng thể của tập Pareto mà không cần định nghĩa lại trọng số cho từng mục tiêu đơn lẻ.</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Budgeted Multi-Armed Bandit (BwK - Bandits with Knapsacks):</w:t>
      </w:r>
      <w:r w:rsidDel="00000000" w:rsidR="00000000" w:rsidRPr="00000000">
        <w:rPr>
          <w:rFonts w:ascii="Google Sans" w:cs="Google Sans" w:eastAsia="Google Sans" w:hAnsi="Google Sans"/>
          <w:rtl w:val="0"/>
        </w:rPr>
        <w:t xml:space="preserve"> Trong cấu trúc do người dùng đề xuất, hệ thống chịu sự giới hạn của tổng số tự nhiên </w:t>
      </w:r>
      <w:r w:rsidDel="00000000" w:rsidR="00000000" w:rsidRPr="00000000">
        <w:rPr>
          <w:rFonts w:ascii="Google Sans" w:cs="Google Sans" w:eastAsia="Google Sans" w:hAnsi="Google Sans"/>
        </w:rPr>
        <w:drawing>
          <wp:inline distB="19050" distT="19050" distL="19050" distR="19050">
            <wp:extent cx="149275" cy="223912"/>
            <wp:effectExtent b="0" l="0" r="0" t="0"/>
            <wp:docPr id="9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rtl w:val="0"/>
        </w:rPr>
        <w:t xml:space="preserve"> đại diện cho số lần gọi LLM tối đa. Đây chính là biến thể Budgeted MAB, nơi mỗi lần kéo tay quay không chỉ mang lại phần thưởng mà còn tiêu tốn một mức chi phí hữu hạn.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Mục tiêu tối thượng của mô hình này không chỉ là tối đa hóa phần thưởng tuyệt đối, mà là tối đa hóa phần thưởng thu được trên mỗi đơn vị chi phí.</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Khi ứng dụng vào LLM, chi phí có thể được lượng hóa bằng số lần gọi API (1 lần gọi = 1 đơn vị ngân sách) hoặc tinh vi hơn là số lượng token mà một cụm heuristic cụ thể yêu cầu trong context prompt.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Thuật toán phải định tuyến thông minh ngân sách </w:t>
      </w:r>
      <w:r w:rsidDel="00000000" w:rsidR="00000000" w:rsidRPr="00000000">
        <w:rPr>
          <w:rFonts w:ascii="Google Sans" w:cs="Google Sans" w:eastAsia="Google Sans" w:hAnsi="Google Sans"/>
        </w:rPr>
        <w:drawing>
          <wp:inline distB="19050" distT="19050" distL="19050" distR="19050">
            <wp:extent cx="149275" cy="223912"/>
            <wp:effectExtent b="0" l="0" r="0" t="0"/>
            <wp:docPr id="4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rtl w:val="0"/>
        </w:rPr>
        <w:t xml:space="preserve"> này vào các tay quay (cụm heuristic) mang lại Tỷ suất Phần thưởng/Chi phí cao nhất để tránh việc ngân sách bị cạn kiệt bởi các thuật toán phức tạp nhưng không hiệu quả.</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Hình thức hóa Mô hình Phân bổ Ngân sách cho LLM (Formalization)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khắc phục triệt để tính chất "cào bằng" và chuyển đổi ý tưởng thành một khung toán học thực sự chuẩn xác và chi tiết, chúng ta tiến hành hình thức hóa hệ thống đề xuất dưới dạng một mô hình </w:t>
      </w:r>
      <w:r w:rsidDel="00000000" w:rsidR="00000000" w:rsidRPr="00000000">
        <w:rPr>
          <w:rFonts w:ascii="Google Sans" w:cs="Google Sans" w:eastAsia="Google Sans" w:hAnsi="Google Sans"/>
          <w:b w:val="1"/>
          <w:bCs w:val="1"/>
          <w:rtl w:val="0"/>
        </w:rPr>
        <w:t xml:space="preserve">Budgeted MO-MAB</w:t>
      </w:r>
      <w:r w:rsidDel="00000000" w:rsidR="00000000" w:rsidRPr="00000000">
        <w:rPr>
          <w:rFonts w:ascii="Google Sans" w:cs="Google Sans" w:eastAsia="Google Sans" w:hAnsi="Google Sans"/>
          <w:rtl w:val="0"/>
        </w:rPr>
        <w:t xml:space="preserve"> hoạt động trên nền tảng tiến hóa do LLM dẫn dắt. Mô hình này định nghĩa rõ ràng các thành phần Không gian trạng thái, Không gian hành động, Hàm phần thưởng và Cơ chế ngân sách.</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Hình thức hóa Không gian Tay quay (Arm Space Formulation)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Việc xác định cái gì đóng vai trò là "tay quay" (arm) quyết định sự thành bại của thuật toán. Nếu coi mỗi đoạn mã heuristic đơn lẻ là một tay quay, hệ thống sẽ đối mặt với sự bùng nổ tổ hợp vô hạn, khiến MAB không bao giờ có đủ mẫu để hội tụ. Khung MPaGE đã cung cấp sẵn công cụ giải quyết vấn đề này: Phân cụm Ngữ nghĩa (Semantic Clustering).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Giả sử tại thế hệ </w:t>
      </w:r>
      <w:r w:rsidDel="00000000" w:rsidR="00000000" w:rsidRPr="00000000">
        <w:rPr>
          <w:rFonts w:ascii="Google Sans" w:cs="Google Sans" w:eastAsia="Google Sans" w:hAnsi="Google Sans"/>
        </w:rPr>
        <w:drawing>
          <wp:inline distB="19050" distT="19050" distL="19050" distR="19050">
            <wp:extent cx="66675" cy="228600"/>
            <wp:effectExtent b="0" l="0" r="0" t="0"/>
            <wp:docPr id="4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rtl w:val="0"/>
        </w:rPr>
        <w:t xml:space="preserve">, hệ thống sở hữu tập hợp tinh hoa </w:t>
      </w:r>
      <w:r w:rsidDel="00000000" w:rsidR="00000000" w:rsidRPr="00000000">
        <w:rPr>
          <w:rFonts w:ascii="Google Sans" w:cs="Google Sans" w:eastAsia="Google Sans" w:hAnsi="Google Sans"/>
        </w:rPr>
        <w:drawing>
          <wp:inline distB="19050" distT="19050" distL="19050" distR="19050">
            <wp:extent cx="1594842" cy="229199"/>
            <wp:effectExtent b="0" l="0" r="0" t="0"/>
            <wp:docPr id="49"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1594842" cy="229199"/>
                    </a:xfrm>
                    <a:prstGeom prst="rect"/>
                    <a:ln/>
                  </pic:spPr>
                </pic:pic>
              </a:graphicData>
            </a:graphic>
          </wp:inline>
        </w:drawing>
      </w:r>
      <w:r w:rsidDel="00000000" w:rsidR="00000000" w:rsidRPr="00000000">
        <w:rPr>
          <w:rFonts w:ascii="Google Sans" w:cs="Google Sans" w:eastAsia="Google Sans" w:hAnsi="Google Sans"/>
          <w:rtl w:val="0"/>
        </w:rPr>
        <w:t xml:space="preserve">. Mô hình LLM phân tích và nhóm các đoạn mã này thành </w:t>
      </w:r>
      <w:r w:rsidDel="00000000" w:rsidR="00000000" w:rsidRPr="00000000">
        <w:rPr>
          <w:rFonts w:ascii="Google Sans" w:cs="Google Sans" w:eastAsia="Google Sans" w:hAnsi="Google Sans"/>
        </w:rPr>
        <w:drawing>
          <wp:inline distB="19050" distT="19050" distL="19050" distR="19050">
            <wp:extent cx="169664" cy="226219"/>
            <wp:effectExtent b="0" l="0" r="0" t="0"/>
            <wp:docPr id="51"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rtl w:val="0"/>
        </w:rPr>
        <w:t xml:space="preserve"> cụm không giao nhau dựa trên mức độ tương đồng về logic thuật toán: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55521"/>
            <wp:effectExtent b="0" l="0" r="0" t="0"/>
            <wp:docPr id="53"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Không gian tay quay </w:t>
      </w:r>
      <w:r w:rsidDel="00000000" w:rsidR="00000000" w:rsidRPr="00000000">
        <w:rPr>
          <w:rFonts w:ascii="Google Sans" w:cs="Google Sans" w:eastAsia="Google Sans" w:hAnsi="Google Sans"/>
        </w:rPr>
        <w:drawing>
          <wp:inline distB="19050" distT="19050" distL="19050" distR="19050">
            <wp:extent cx="147191" cy="225693"/>
            <wp:effectExtent b="0" l="0" r="0" t="0"/>
            <wp:docPr id="55" name="image48.png"/>
            <a:graphic>
              <a:graphicData uri="http://schemas.openxmlformats.org/drawingml/2006/picture">
                <pic:pic>
                  <pic:nvPicPr>
                    <pic:cNvPr id="0" name="image48.png"/>
                    <pic:cNvPicPr preferRelativeResize="0"/>
                  </pic:nvPicPr>
                  <pic:blipFill>
                    <a:blip r:embed="rId24"/>
                    <a:srcRect b="0" l="0" r="0" t="0"/>
                    <a:stretch>
                      <a:fillRect/>
                    </a:stretch>
                  </pic:blipFill>
                  <pic:spPr>
                    <a:xfrm>
                      <a:off x="0" y="0"/>
                      <a:ext cx="147191" cy="225693"/>
                    </a:xfrm>
                    <a:prstGeom prst="rect"/>
                    <a:ln/>
                  </pic:spPr>
                </pic:pic>
              </a:graphicData>
            </a:graphic>
          </wp:inline>
        </w:drawing>
      </w:r>
      <w:r w:rsidDel="00000000" w:rsidR="00000000" w:rsidRPr="00000000">
        <w:rPr>
          <w:rFonts w:ascii="Google Sans" w:cs="Google Sans" w:eastAsia="Google Sans" w:hAnsi="Google Sans"/>
          <w:rtl w:val="0"/>
        </w:rPr>
        <w:t xml:space="preserve"> của bài toán MAB được định nghĩa chính là tập hợp các cụm ngữ nghĩa này: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55521"/>
            <wp:effectExtent b="0" l="0" r="0" t="0"/>
            <wp:docPr id="57"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Việc gán tay quay cấp độ cụm (Cluster-as-an-arm) cho phép thuật toán tổng hợp thông tin lịch sử của các heuristic có chung bản chất toán học. Khi một cụm thể hiện sự hiệu quả, hệ thống MAB sẽ ghi nhận tín hiệu tốt cho toàn bộ "phong cách thiết kế" đó, định hướng LLM tiếp tục khai thác các biến thể thuộc trường phái logic này.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Hình thức hóa Không gian Hành động (Action Space Formulation)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Thay vì sử dụng một xác suất tĩnh </w:t>
      </w:r>
      <w:r w:rsidDel="00000000" w:rsidR="00000000" w:rsidRPr="00000000">
        <w:rPr>
          <w:rFonts w:ascii="Google Sans" w:cs="Google Sans" w:eastAsia="Google Sans" w:hAnsi="Google Sans"/>
        </w:rPr>
        <w:drawing>
          <wp:inline distB="19050" distT="19050" distL="19050" distR="19050">
            <wp:extent cx="105668" cy="230548"/>
            <wp:effectExtent b="0" l="0" r="0" t="0"/>
            <wp:docPr id="5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05668" cy="230548"/>
                    </a:xfrm>
                    <a:prstGeom prst="rect"/>
                    <a:ln/>
                  </pic:spPr>
                </pic:pic>
              </a:graphicData>
            </a:graphic>
          </wp:inline>
        </w:drawing>
      </w:r>
      <w:r w:rsidDel="00000000" w:rsidR="00000000" w:rsidRPr="00000000">
        <w:rPr>
          <w:rFonts w:ascii="Google Sans" w:cs="Google Sans" w:eastAsia="Google Sans" w:hAnsi="Google Sans"/>
          <w:rtl w:val="0"/>
        </w:rPr>
        <w:t xml:space="preserve"> cho Mutate và </w:t>
      </w:r>
      <w:r w:rsidDel="00000000" w:rsidR="00000000" w:rsidRPr="00000000">
        <w:rPr>
          <w:rFonts w:ascii="Google Sans" w:cs="Google Sans" w:eastAsia="Google Sans" w:hAnsi="Google Sans"/>
        </w:rPr>
        <w:drawing>
          <wp:inline distB="19050" distT="19050" distL="19050" distR="19050">
            <wp:extent cx="567035" cy="226814"/>
            <wp:effectExtent b="0" l="0" r="0" t="0"/>
            <wp:docPr id="59"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67035" cy="226814"/>
                    </a:xfrm>
                    <a:prstGeom prst="rect"/>
                    <a:ln/>
                  </pic:spPr>
                </pic:pic>
              </a:graphicData>
            </a:graphic>
          </wp:inline>
        </w:drawing>
      </w:r>
      <w:r w:rsidDel="00000000" w:rsidR="00000000" w:rsidRPr="00000000">
        <w:rPr>
          <w:rFonts w:ascii="Google Sans" w:cs="Google Sans" w:eastAsia="Google Sans" w:hAnsi="Google Sans"/>
          <w:rtl w:val="0"/>
        </w:rPr>
        <w:t xml:space="preserve"> cho Crossover như bài báo gốc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chúng ta mở rộng chiều của không gian tay quay để hệ thống tự học tỷ lệ này. Một hành động </w:t>
      </w:r>
      <w:r w:rsidDel="00000000" w:rsidR="00000000" w:rsidRPr="00000000">
        <w:rPr>
          <w:rFonts w:ascii="Google Sans" w:cs="Google Sans" w:eastAsia="Google Sans" w:hAnsi="Google Sans"/>
        </w:rPr>
        <w:drawing>
          <wp:inline distB="19050" distT="19050" distL="19050" distR="19050">
            <wp:extent cx="97631" cy="234315"/>
            <wp:effectExtent b="0" l="0" r="0" t="0"/>
            <wp:docPr id="60"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97631" cy="234315"/>
                    </a:xfrm>
                    <a:prstGeom prst="rect"/>
                    <a:ln/>
                  </pic:spPr>
                </pic:pic>
              </a:graphicData>
            </a:graphic>
          </wp:inline>
        </w:drawing>
      </w:r>
      <w:r w:rsidDel="00000000" w:rsidR="00000000" w:rsidRPr="00000000">
        <w:rPr>
          <w:rFonts w:ascii="Google Sans" w:cs="Google Sans" w:eastAsia="Google Sans" w:hAnsi="Google Sans"/>
          <w:rtl w:val="0"/>
        </w:rPr>
        <w:t xml:space="preserve"> tại thời điểm </w:t>
      </w:r>
      <w:r w:rsidDel="00000000" w:rsidR="00000000" w:rsidRPr="00000000">
        <w:rPr>
          <w:rFonts w:ascii="Google Sans" w:cs="Google Sans" w:eastAsia="Google Sans" w:hAnsi="Google Sans"/>
        </w:rPr>
        <w:drawing>
          <wp:inline distB="19050" distT="19050" distL="19050" distR="19050">
            <wp:extent cx="66675" cy="228600"/>
            <wp:effectExtent b="0" l="0" r="0" t="0"/>
            <wp:docPr id="2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rtl w:val="0"/>
        </w:rPr>
        <w:t xml:space="preserve"> được định nghĩa bằng một cặp (Toán tử, Cụm mục tiêu):</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55521"/>
            <wp:effectExtent b="0" l="0" r="0" t="0"/>
            <wp:docPr id="2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Tuy nhiên, để giảm thiểu độ phức tạp cho UCB, ta có thể xây dựng không gian hành động tích hợp, nơi mỗi tay quay </w:t>
      </w:r>
      <w:r w:rsidDel="00000000" w:rsidR="00000000" w:rsidRPr="00000000">
        <w:rPr>
          <w:rFonts w:ascii="Google Sans" w:cs="Google Sans" w:eastAsia="Google Sans" w:hAnsi="Google Sans"/>
        </w:rPr>
        <w:drawing>
          <wp:inline distB="19050" distT="19050" distL="19050" distR="19050">
            <wp:extent cx="101947" cy="222430"/>
            <wp:effectExtent b="0" l="0" r="0" t="0"/>
            <wp:docPr id="28"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rtl w:val="0"/>
        </w:rPr>
        <w:t xml:space="preserve"> (đại diện cho cụm </w:t>
      </w:r>
      <w:r w:rsidDel="00000000" w:rsidR="00000000" w:rsidRPr="00000000">
        <w:rPr>
          <w:rFonts w:ascii="Google Sans" w:cs="Google Sans" w:eastAsia="Google Sans" w:hAnsi="Google Sans"/>
        </w:rPr>
        <w:drawing>
          <wp:inline distB="19050" distT="19050" distL="19050" distR="19050">
            <wp:extent cx="212229" cy="231522"/>
            <wp:effectExtent b="0" l="0" r="0" t="0"/>
            <wp:docPr id="30"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212229" cy="231522"/>
                    </a:xfrm>
                    <a:prstGeom prst="rect"/>
                    <a:ln/>
                  </pic:spPr>
                </pic:pic>
              </a:graphicData>
            </a:graphic>
          </wp:inline>
        </w:drawing>
      </w:r>
      <w:r w:rsidDel="00000000" w:rsidR="00000000" w:rsidRPr="00000000">
        <w:rPr>
          <w:rFonts w:ascii="Google Sans" w:cs="Google Sans" w:eastAsia="Google Sans" w:hAnsi="Google Sans"/>
          <w:rtl w:val="0"/>
        </w:rPr>
        <w:t xml:space="preserve">) có hai nhánh kéo phụ: </w:t>
      </w:r>
      <w:r w:rsidDel="00000000" w:rsidR="00000000" w:rsidRPr="00000000">
        <w:rPr>
          <w:rFonts w:ascii="Google Sans" w:cs="Google Sans" w:eastAsia="Google Sans" w:hAnsi="Google Sans"/>
        </w:rPr>
        <w:drawing>
          <wp:inline distB="19050" distT="19050" distL="19050" distR="19050">
            <wp:extent cx="344835" cy="229890"/>
            <wp:effectExtent b="0" l="0" r="0" t="0"/>
            <wp:docPr id="32"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344835" cy="229890"/>
                    </a:xfrm>
                    <a:prstGeom prst="rect"/>
                    <a:ln/>
                  </pic:spPr>
                </pic:pic>
              </a:graphicData>
            </a:graphic>
          </wp:inline>
        </w:drawing>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rPr>
        <w:drawing>
          <wp:inline distB="19050" distT="19050" distL="19050" distR="19050">
            <wp:extent cx="408831" cy="228185"/>
            <wp:effectExtent b="0" l="0" r="0" t="0"/>
            <wp:docPr id="34"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08831" cy="228185"/>
                    </a:xfrm>
                    <a:prstGeom prst="rect"/>
                    <a:ln/>
                  </pic:spPr>
                </pic:pic>
              </a:graphicData>
            </a:graphic>
          </wp:inline>
        </w:drawing>
      </w:r>
      <w:r w:rsidDel="00000000" w:rsidR="00000000" w:rsidRPr="00000000">
        <w:rPr>
          <w:rFonts w:ascii="Google Sans" w:cs="Google Sans" w:eastAsia="Google Sans" w:hAnsi="Google Sans"/>
          <w:rtl w:val="0"/>
        </w:rPr>
        <w:t xml:space="preserve">. Hành động kéo nhánh </w:t>
      </w:r>
      <w:r w:rsidDel="00000000" w:rsidR="00000000" w:rsidRPr="00000000">
        <w:rPr>
          <w:rFonts w:ascii="Google Sans" w:cs="Google Sans" w:eastAsia="Google Sans" w:hAnsi="Google Sans"/>
        </w:rPr>
        <w:drawing>
          <wp:inline distB="19050" distT="19050" distL="19050" distR="19050">
            <wp:extent cx="408831" cy="228185"/>
            <wp:effectExtent b="0" l="0" r="0" t="0"/>
            <wp:docPr id="36"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408831" cy="228185"/>
                    </a:xfrm>
                    <a:prstGeom prst="rect"/>
                    <a:ln/>
                  </pic:spPr>
                </pic:pic>
              </a:graphicData>
            </a:graphic>
          </wp:inline>
        </w:drawing>
      </w:r>
      <w:r w:rsidDel="00000000" w:rsidR="00000000" w:rsidRPr="00000000">
        <w:rPr>
          <w:rFonts w:ascii="Google Sans" w:cs="Google Sans" w:eastAsia="Google Sans" w:hAnsi="Google Sans"/>
          <w:rtl w:val="0"/>
        </w:rPr>
        <w:t xml:space="preserve"> đồng nghĩa với việc yêu cầu LLM thực hiện Crossover sử dụng một đại diện từ </w:t>
      </w:r>
      <w:r w:rsidDel="00000000" w:rsidR="00000000" w:rsidRPr="00000000">
        <w:rPr>
          <w:rFonts w:ascii="Google Sans" w:cs="Google Sans" w:eastAsia="Google Sans" w:hAnsi="Google Sans"/>
        </w:rPr>
        <w:drawing>
          <wp:inline distB="19050" distT="19050" distL="19050" distR="19050">
            <wp:extent cx="212229" cy="231522"/>
            <wp:effectExtent b="0" l="0" r="0" t="0"/>
            <wp:docPr id="37"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212229" cy="231522"/>
                    </a:xfrm>
                    <a:prstGeom prst="rect"/>
                    <a:ln/>
                  </pic:spPr>
                </pic:pic>
              </a:graphicData>
            </a:graphic>
          </wp:inline>
        </w:drawing>
      </w:r>
      <w:r w:rsidDel="00000000" w:rsidR="00000000" w:rsidRPr="00000000">
        <w:rPr>
          <w:rFonts w:ascii="Google Sans" w:cs="Google Sans" w:eastAsia="Google Sans" w:hAnsi="Google Sans"/>
          <w:rtl w:val="0"/>
        </w:rPr>
        <w:t xml:space="preserve"> kết hợp với một cá thể ngoại lai từ một cụm ưu tú khác. Do đó, tổng số lượng tay quay thực tế tại mọi thời điểm là </w:t>
      </w:r>
      <w:r w:rsidDel="00000000" w:rsidR="00000000" w:rsidRPr="00000000">
        <w:rPr>
          <w:rFonts w:ascii="Google Sans" w:cs="Google Sans" w:eastAsia="Google Sans" w:hAnsi="Google Sans"/>
        </w:rPr>
        <w:drawing>
          <wp:inline distB="19050" distT="19050" distL="19050" distR="19050">
            <wp:extent cx="261938" cy="224518"/>
            <wp:effectExtent b="0" l="0" r="0" t="0"/>
            <wp:docPr id="38"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261938" cy="224518"/>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Hình thức hóa Hàm Phần thưởng Đa mục tiêu (Reward Function)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Sự thành công của MO-MAB phụ thuộc vào việc định lượng giá trị đóng góp của một giải pháp vào việc giải quyết bài toán đa mục tiêu.</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Khi hành động </w:t>
      </w:r>
      <w:r w:rsidDel="00000000" w:rsidR="00000000" w:rsidRPr="00000000">
        <w:rPr>
          <w:rFonts w:ascii="Google Sans" w:cs="Google Sans" w:eastAsia="Google Sans" w:hAnsi="Google Sans"/>
        </w:rPr>
        <w:drawing>
          <wp:inline distB="19050" distT="19050" distL="19050" distR="19050">
            <wp:extent cx="153442" cy="230163"/>
            <wp:effectExtent b="0" l="0" r="0" t="0"/>
            <wp:docPr id="39"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153442" cy="230163"/>
                    </a:xfrm>
                    <a:prstGeom prst="rect"/>
                    <a:ln/>
                  </pic:spPr>
                </pic:pic>
              </a:graphicData>
            </a:graphic>
          </wp:inline>
        </w:drawing>
      </w:r>
      <w:r w:rsidDel="00000000" w:rsidR="00000000" w:rsidRPr="00000000">
        <w:rPr>
          <w:rFonts w:ascii="Google Sans" w:cs="Google Sans" w:eastAsia="Google Sans" w:hAnsi="Google Sans"/>
          <w:rtl w:val="0"/>
        </w:rPr>
        <w:t xml:space="preserve"> gọi LLM sinh ra một heuristic mới </w:t>
      </w:r>
      <w:r w:rsidDel="00000000" w:rsidR="00000000" w:rsidRPr="00000000">
        <w:rPr>
          <w:rFonts w:ascii="Google Sans" w:cs="Google Sans" w:eastAsia="Google Sans" w:hAnsi="Google Sans"/>
        </w:rPr>
        <w:drawing>
          <wp:inline distB="19050" distT="19050" distL="19050" distR="19050">
            <wp:extent cx="348853" cy="226283"/>
            <wp:effectExtent b="0" l="0" r="0" t="0"/>
            <wp:docPr id="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48853" cy="226283"/>
                    </a:xfrm>
                    <a:prstGeom prst="rect"/>
                    <a:ln/>
                  </pic:spPr>
                </pic:pic>
              </a:graphicData>
            </a:graphic>
          </wp:inline>
        </w:drawing>
      </w:r>
      <w:r w:rsidDel="00000000" w:rsidR="00000000" w:rsidRPr="00000000">
        <w:rPr>
          <w:rFonts w:ascii="Google Sans" w:cs="Google Sans" w:eastAsia="Google Sans" w:hAnsi="Google Sans"/>
          <w:rtl w:val="0"/>
        </w:rPr>
        <w:t xml:space="preserve">, heuristic này được áp dụng vào bài toán MOCOP (ví dụ: giải bài toán Bi-TSP) và trả về một hoặc nhiều nghiệm </w:t>
      </w:r>
      <w:r w:rsidDel="00000000" w:rsidR="00000000" w:rsidRPr="00000000">
        <w:rPr>
          <w:rFonts w:ascii="Google Sans" w:cs="Google Sans" w:eastAsia="Google Sans" w:hAnsi="Google Sans"/>
        </w:rPr>
        <w:drawing>
          <wp:inline distB="19050" distT="19050" distL="19050" distR="19050">
            <wp:extent cx="150168" cy="225251"/>
            <wp:effectExtent b="0" l="0" r="0" t="0"/>
            <wp:docPr id="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150168" cy="225251"/>
                    </a:xfrm>
                    <a:prstGeom prst="rect"/>
                    <a:ln/>
                  </pic:spPr>
                </pic:pic>
              </a:graphicData>
            </a:graphic>
          </wp:inline>
        </w:drawing>
      </w:r>
      <w:r w:rsidDel="00000000" w:rsidR="00000000" w:rsidRPr="00000000">
        <w:rPr>
          <w:rFonts w:ascii="Google Sans" w:cs="Google Sans" w:eastAsia="Google Sans" w:hAnsi="Google Sans"/>
          <w:rtl w:val="0"/>
        </w:rPr>
        <w:t xml:space="preserve">. Hệ thống so sánh nghiệm này với kho lưu trữ các nghiệm không bị thống trị hiện tại </w:t>
      </w:r>
      <w:r w:rsidDel="00000000" w:rsidR="00000000" w:rsidRPr="00000000">
        <w:rPr>
          <w:rFonts w:ascii="Google Sans" w:cs="Google Sans" w:eastAsia="Google Sans" w:hAnsi="Google Sans"/>
        </w:rPr>
        <w:drawing>
          <wp:inline distB="19050" distT="19050" distL="19050" distR="19050">
            <wp:extent cx="350193" cy="217687"/>
            <wp:effectExtent b="0" l="0" r="0" t="0"/>
            <wp:docPr id="7"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350193" cy="217687"/>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Hàm phần thưởng </w:t>
      </w:r>
      <w:r w:rsidDel="00000000" w:rsidR="00000000" w:rsidRPr="00000000">
        <w:rPr>
          <w:rFonts w:ascii="Google Sans" w:cs="Google Sans" w:eastAsia="Google Sans" w:hAnsi="Google Sans"/>
        </w:rPr>
        <w:drawing>
          <wp:inline distB="19050" distT="19050" distL="19050" distR="19050">
            <wp:extent cx="385167" cy="231100"/>
            <wp:effectExtent b="0" l="0" r="0" t="0"/>
            <wp:docPr id="9"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385167" cy="231100"/>
                    </a:xfrm>
                    <a:prstGeom prst="rect"/>
                    <a:ln/>
                  </pic:spPr>
                </pic:pic>
              </a:graphicData>
            </a:graphic>
          </wp:inline>
        </w:drawing>
      </w:r>
      <w:r w:rsidDel="00000000" w:rsidR="00000000" w:rsidRPr="00000000">
        <w:rPr>
          <w:rFonts w:ascii="Google Sans" w:cs="Google Sans" w:eastAsia="Google Sans" w:hAnsi="Google Sans"/>
          <w:rtl w:val="0"/>
        </w:rPr>
        <w:t xml:space="preserve"> được định nghĩa dựa trên sự gia tăng thể tích siêu khối lượng (Hypervolume Improvement - HVI) do </w:t>
      </w:r>
      <w:r w:rsidDel="00000000" w:rsidR="00000000" w:rsidRPr="00000000">
        <w:rPr>
          <w:rFonts w:ascii="Google Sans" w:cs="Google Sans" w:eastAsia="Google Sans" w:hAnsi="Google Sans"/>
        </w:rPr>
        <w:drawing>
          <wp:inline distB="19050" distT="19050" distL="19050" distR="19050">
            <wp:extent cx="150168" cy="225251"/>
            <wp:effectExtent b="0" l="0" r="0" t="0"/>
            <wp:docPr id="11"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150168" cy="225251"/>
                    </a:xfrm>
                    <a:prstGeom prst="rect"/>
                    <a:ln/>
                  </pic:spPr>
                </pic:pic>
              </a:graphicData>
            </a:graphic>
          </wp:inline>
        </w:drawing>
      </w:r>
      <w:r w:rsidDel="00000000" w:rsidR="00000000" w:rsidRPr="00000000">
        <w:rPr>
          <w:rFonts w:ascii="Google Sans" w:cs="Google Sans" w:eastAsia="Google Sans" w:hAnsi="Google Sans"/>
          <w:rtl w:val="0"/>
        </w:rPr>
        <w:t xml:space="preserve"> mang lại so với điểm tham chiếu </w:t>
      </w:r>
      <w:r w:rsidDel="00000000" w:rsidR="00000000" w:rsidRPr="00000000">
        <w:rPr>
          <w:rFonts w:ascii="Google Sans" w:cs="Google Sans" w:eastAsia="Google Sans" w:hAnsi="Google Sans"/>
        </w:rPr>
        <w:drawing>
          <wp:inline distB="19050" distT="19050" distL="19050" distR="19050">
            <wp:extent cx="298549" cy="231135"/>
            <wp:effectExtent b="0" l="0" r="0" t="0"/>
            <wp:docPr id="13"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298549" cy="231135"/>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55521"/>
            <wp:effectExtent b="0" l="0" r="0" t="0"/>
            <wp:docPr id="15"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giải quyết hiện tượng dải phần thưởng có phương sai lớn (phần thưởng ở các thế hệ đầu rất cao và giảm dần về 0), chúng ta áp dụng cơ chế </w:t>
      </w:r>
      <w:r w:rsidDel="00000000" w:rsidR="00000000" w:rsidRPr="00000000">
        <w:rPr>
          <w:rFonts w:ascii="Google Sans" w:cs="Google Sans" w:eastAsia="Google Sans" w:hAnsi="Google Sans"/>
          <w:b w:val="1"/>
          <w:bCs w:val="1"/>
          <w:rtl w:val="0"/>
        </w:rPr>
        <w:t xml:space="preserve">Chuẩn hóa dựa trên Xếp hạng (Rank-based Normalization)</w:t>
      </w:r>
      <w:r w:rsidDel="00000000" w:rsidR="00000000" w:rsidRPr="00000000">
        <w:rPr>
          <w:rFonts w:ascii="Google Sans" w:cs="Google Sans" w:eastAsia="Google Sans" w:hAnsi="Google Sans"/>
          <w:rtl w:val="0"/>
        </w:rPr>
        <w:t xml:space="preserve"> hoặc </w:t>
      </w:r>
      <w:r w:rsidDel="00000000" w:rsidR="00000000" w:rsidRPr="00000000">
        <w:rPr>
          <w:rFonts w:ascii="Google Sans" w:cs="Google Sans" w:eastAsia="Google Sans" w:hAnsi="Google Sans"/>
          <w:b w:val="1"/>
          <w:bCs w:val="1"/>
          <w:rtl w:val="0"/>
        </w:rPr>
        <w:t xml:space="preserve">Giá trị cực trị (Extreme Value-based Reward)</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Đồng thời, cần bổ sung một </w:t>
      </w:r>
      <w:r w:rsidDel="00000000" w:rsidR="00000000" w:rsidRPr="00000000">
        <w:rPr>
          <w:rFonts w:ascii="Google Sans" w:cs="Google Sans" w:eastAsia="Google Sans" w:hAnsi="Google Sans"/>
          <w:b w:val="1"/>
          <w:bCs w:val="1"/>
          <w:rtl w:val="0"/>
        </w:rPr>
        <w:t xml:space="preserve">Hàm Phạt (Penalty Function)</w:t>
      </w:r>
      <w:r w:rsidDel="00000000" w:rsidR="00000000" w:rsidRPr="00000000">
        <w:rPr>
          <w:rFonts w:ascii="Google Sans" w:cs="Google Sans" w:eastAsia="Google Sans" w:hAnsi="Google Sans"/>
          <w:rtl w:val="0"/>
        </w:rPr>
        <w:t xml:space="preserve">: Nếu </w:t>
      </w:r>
      <w:r w:rsidDel="00000000" w:rsidR="00000000" w:rsidRPr="00000000">
        <w:rPr>
          <w:rFonts w:ascii="Google Sans" w:cs="Google Sans" w:eastAsia="Google Sans" w:hAnsi="Google Sans"/>
        </w:rPr>
        <w:drawing>
          <wp:inline distB="19050" distT="19050" distL="19050" distR="19050">
            <wp:extent cx="348853" cy="226283"/>
            <wp:effectExtent b="0" l="0" r="0" t="0"/>
            <wp:docPr id="1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48853" cy="226283"/>
                    </a:xfrm>
                    <a:prstGeom prst="rect"/>
                    <a:ln/>
                  </pic:spPr>
                </pic:pic>
              </a:graphicData>
            </a:graphic>
          </wp:inline>
        </w:drawing>
      </w:r>
      <w:r w:rsidDel="00000000" w:rsidR="00000000" w:rsidRPr="00000000">
        <w:rPr>
          <w:rFonts w:ascii="Google Sans" w:cs="Google Sans" w:eastAsia="Google Sans" w:hAnsi="Google Sans"/>
          <w:rtl w:val="0"/>
        </w:rPr>
        <w:t xml:space="preserve"> do LLM sinh ra mắc lỗi cú pháp, gặp vòng lặp vô hạn (timeout), hoặc vi phạm ràng buộc định dạng, hệ thống gán một phần thưởng âm </w:t>
      </w:r>
      <w:r w:rsidDel="00000000" w:rsidR="00000000" w:rsidRPr="00000000">
        <w:rPr>
          <w:rFonts w:ascii="Google Sans" w:cs="Google Sans" w:eastAsia="Google Sans" w:hAnsi="Google Sans"/>
        </w:rPr>
        <w:drawing>
          <wp:inline distB="19050" distT="19050" distL="19050" distR="19050">
            <wp:extent cx="516136" cy="229394"/>
            <wp:effectExtent b="0" l="0" r="0" t="0"/>
            <wp:docPr id="17"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16136" cy="229394"/>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Điều này buộc MAB nhanh chóng hạ cấp độ tin cậy của các cụm ngữ nghĩa dẫn đến việc sinh mã lỗi, bảo vệ tài nguyên LLM khỏi bị lãng phí.</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4.4 Hình thức hóa Ràng buộc Ngân sách và Chính sách Cập nhật (Budgeted UCB)</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Gọi </w:t>
      </w:r>
      <w:r w:rsidDel="00000000" w:rsidR="00000000" w:rsidRPr="00000000">
        <w:rPr>
          <w:rFonts w:ascii="Google Sans" w:cs="Google Sans" w:eastAsia="Google Sans" w:hAnsi="Google Sans"/>
        </w:rPr>
        <w:drawing>
          <wp:inline distB="19050" distT="19050" distL="19050" distR="19050">
            <wp:extent cx="149275" cy="223912"/>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rtl w:val="0"/>
        </w:rPr>
        <w:t xml:space="preserve"> là tổng ngân sách khả dụng, là một số tự nhiên đại diện cho giới hạn tài nguyên cấp phát cho toàn bộ quá trình tìm kiếm.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Quá trình tiến hóa sẽ dừng lại khi </w:t>
      </w:r>
      <w:r w:rsidDel="00000000" w:rsidR="00000000" w:rsidRPr="00000000">
        <w:rPr>
          <w:rFonts w:ascii="Google Sans" w:cs="Google Sans" w:eastAsia="Google Sans" w:hAnsi="Google Sans"/>
        </w:rPr>
        <w:drawing>
          <wp:inline distB="19050" distT="19050" distL="19050" distR="19050">
            <wp:extent cx="487710" cy="229510"/>
            <wp:effectExtent b="0" l="0" r="0" t="0"/>
            <wp:docPr id="67" name="image46.png"/>
            <a:graphic>
              <a:graphicData uri="http://schemas.openxmlformats.org/drawingml/2006/picture">
                <pic:pic>
                  <pic:nvPicPr>
                    <pic:cNvPr id="0" name="image46.png"/>
                    <pic:cNvPicPr preferRelativeResize="0"/>
                  </pic:nvPicPr>
                  <pic:blipFill>
                    <a:blip r:embed="rId42"/>
                    <a:srcRect b="0" l="0" r="0" t="0"/>
                    <a:stretch>
                      <a:fillRect/>
                    </a:stretch>
                  </pic:blipFill>
                  <pic:spPr>
                    <a:xfrm>
                      <a:off x="0" y="0"/>
                      <a:ext cx="487710" cy="229510"/>
                    </a:xfrm>
                    <a:prstGeom prst="rect"/>
                    <a:ln/>
                  </pic:spPr>
                </pic:pic>
              </a:graphicData>
            </a:graphic>
          </wp:inline>
        </w:drawing>
      </w:r>
      <w:r w:rsidDel="00000000" w:rsidR="00000000" w:rsidRPr="00000000">
        <w:rPr>
          <w:rFonts w:ascii="Google Sans" w:cs="Google Sans" w:eastAsia="Google Sans" w:hAnsi="Google Sans"/>
          <w:rtl w:val="0"/>
        </w:rPr>
        <w:t xml:space="preserve"> thay vì dựa vào một số thế hệ cố định.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Mỗi hành động kéo tay quay </w:t>
      </w:r>
      <w:r w:rsidDel="00000000" w:rsidR="00000000" w:rsidRPr="00000000">
        <w:rPr>
          <w:rFonts w:ascii="Google Sans" w:cs="Google Sans" w:eastAsia="Google Sans" w:hAnsi="Google Sans"/>
        </w:rPr>
        <w:drawing>
          <wp:inline distB="19050" distT="19050" distL="19050" distR="19050">
            <wp:extent cx="153442" cy="230163"/>
            <wp:effectExtent b="0" l="0" r="0" t="0"/>
            <wp:docPr id="70"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153442" cy="230163"/>
                    </a:xfrm>
                    <a:prstGeom prst="rect"/>
                    <a:ln/>
                  </pic:spPr>
                </pic:pic>
              </a:graphicData>
            </a:graphic>
          </wp:inline>
        </w:drawing>
      </w:r>
      <w:r w:rsidDel="00000000" w:rsidR="00000000" w:rsidRPr="00000000">
        <w:rPr>
          <w:rFonts w:ascii="Google Sans" w:cs="Google Sans" w:eastAsia="Google Sans" w:hAnsi="Google Sans"/>
          <w:rtl w:val="0"/>
        </w:rPr>
        <w:t xml:space="preserve"> (mỗi lần gọi API của LLM) sẽ tiêu tốn một chi phí </w:t>
      </w:r>
      <w:r w:rsidDel="00000000" w:rsidR="00000000" w:rsidRPr="00000000">
        <w:rPr>
          <w:rFonts w:ascii="Google Sans" w:cs="Google Sans" w:eastAsia="Google Sans" w:hAnsi="Google Sans"/>
        </w:rPr>
        <w:drawing>
          <wp:inline distB="19050" distT="19050" distL="19050" distR="19050">
            <wp:extent cx="135731" cy="232682"/>
            <wp:effectExtent b="0" l="0" r="0" t="0"/>
            <wp:docPr id="71"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135731" cy="232682"/>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Trường hợp Đơn vị (Unit Cost):</w:t>
      </w:r>
      <w:r w:rsidDel="00000000" w:rsidR="00000000" w:rsidRPr="00000000">
        <w:rPr>
          <w:rFonts w:ascii="Google Sans" w:cs="Google Sans" w:eastAsia="Google Sans" w:hAnsi="Google Sans"/>
          <w:rtl w:val="0"/>
        </w:rPr>
        <w:t xml:space="preserve"> Nếu ngân sách </w:t>
      </w:r>
      <w:r w:rsidDel="00000000" w:rsidR="00000000" w:rsidRPr="00000000">
        <w:rPr>
          <w:rFonts w:ascii="Google Sans" w:cs="Google Sans" w:eastAsia="Google Sans" w:hAnsi="Google Sans"/>
        </w:rPr>
        <w:drawing>
          <wp:inline distB="19050" distT="19050" distL="19050" distR="19050">
            <wp:extent cx="149275" cy="223912"/>
            <wp:effectExtent b="0" l="0" r="0" t="0"/>
            <wp:docPr id="7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rtl w:val="0"/>
        </w:rPr>
        <w:t xml:space="preserve"> được đo bằng số lượng cuộc gọi API, thì </w:t>
      </w:r>
      <w:r w:rsidDel="00000000" w:rsidR="00000000" w:rsidRPr="00000000">
        <w:rPr>
          <w:rFonts w:ascii="Google Sans" w:cs="Google Sans" w:eastAsia="Google Sans" w:hAnsi="Google Sans"/>
        </w:rPr>
        <w:drawing>
          <wp:inline distB="19050" distT="19050" distL="19050" distR="19050">
            <wp:extent cx="474166" cy="227600"/>
            <wp:effectExtent b="0" l="0" r="0" t="0"/>
            <wp:docPr id="76"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474166" cy="227600"/>
                    </a:xfrm>
                    <a:prstGeom prst="rect"/>
                    <a:ln/>
                  </pic:spPr>
                </pic:pic>
              </a:graphicData>
            </a:graphic>
          </wp:inline>
        </w:drawing>
      </w:r>
      <w:r w:rsidDel="00000000" w:rsidR="00000000" w:rsidRPr="00000000">
        <w:rPr>
          <w:rFonts w:ascii="Google Sans" w:cs="Google Sans" w:eastAsia="Google Sans" w:hAnsi="Google Sans"/>
          <w:rtl w:val="0"/>
        </w:rPr>
        <w:t xml:space="preserve"> cho mọi hành động.</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Trường hợp Nhận thức Token (Token-Aware Cost):</w:t>
      </w:r>
      <w:r w:rsidDel="00000000" w:rsidR="00000000" w:rsidRPr="00000000">
        <w:rPr>
          <w:rFonts w:ascii="Google Sans" w:cs="Google Sans" w:eastAsia="Google Sans" w:hAnsi="Google Sans"/>
          <w:rtl w:val="0"/>
        </w:rPr>
        <w:t xml:space="preserve"> Nếu ngân sách </w:t>
      </w:r>
      <w:r w:rsidDel="00000000" w:rsidR="00000000" w:rsidRPr="00000000">
        <w:rPr>
          <w:rFonts w:ascii="Google Sans" w:cs="Google Sans" w:eastAsia="Google Sans" w:hAnsi="Google Sans"/>
        </w:rPr>
        <w:drawing>
          <wp:inline distB="19050" distT="19050" distL="19050" distR="19050">
            <wp:extent cx="149275" cy="223912"/>
            <wp:effectExtent b="0" l="0" r="0" t="0"/>
            <wp:docPr id="7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rtl w:val="0"/>
        </w:rPr>
        <w:t xml:space="preserve"> được quy đổi thành tổng số token tối đa cho phép sử dụng của mô hình, thì </w:t>
      </w:r>
      <w:r w:rsidDel="00000000" w:rsidR="00000000" w:rsidRPr="00000000">
        <w:rPr>
          <w:rFonts w:ascii="Google Sans" w:cs="Google Sans" w:eastAsia="Google Sans" w:hAnsi="Google Sans"/>
        </w:rPr>
        <w:drawing>
          <wp:inline distB="19050" distT="19050" distL="19050" distR="19050">
            <wp:extent cx="135731" cy="232682"/>
            <wp:effectExtent b="0" l="0" r="0" t="0"/>
            <wp:docPr id="81"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135731" cy="232682"/>
                    </a:xfrm>
                    <a:prstGeom prst="rect"/>
                    <a:ln/>
                  </pic:spPr>
                </pic:pic>
              </a:graphicData>
            </a:graphic>
          </wp:inline>
        </w:drawing>
      </w:r>
      <w:r w:rsidDel="00000000" w:rsidR="00000000" w:rsidRPr="00000000">
        <w:rPr>
          <w:rFonts w:ascii="Google Sans" w:cs="Google Sans" w:eastAsia="Google Sans" w:hAnsi="Google Sans"/>
          <w:rtl w:val="0"/>
        </w:rPr>
        <w:t xml:space="preserve"> là số lượng token tiêu thụ cho prompt và response của heuristic đó.</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Token cost thường tỷ lệ thuận với độ dài và độ phức tạp của cụm ngữ nghĩa.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Áp dụng lý thuyết BwK (Bandits with Knapsacks)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hệ thống tính toán giá trị kỳ vọng cho tay quay </w:t>
      </w:r>
      <w:r w:rsidDel="00000000" w:rsidR="00000000" w:rsidRPr="00000000">
        <w:rPr>
          <w:rFonts w:ascii="Google Sans" w:cs="Google Sans" w:eastAsia="Google Sans" w:hAnsi="Google Sans"/>
        </w:rPr>
        <w:drawing>
          <wp:inline distB="19050" distT="19050" distL="19050" distR="19050">
            <wp:extent cx="101947" cy="222430"/>
            <wp:effectExtent b="0" l="0" r="0" t="0"/>
            <wp:docPr id="8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rtl w:val="0"/>
        </w:rPr>
        <w:t xml:space="preserve"> dựa trên Tỷ suất Phần thưởng/Chi phí:</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756490"/>
            <wp:effectExtent b="0" l="0" r="0" t="0"/>
            <wp:docPr id="85"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905500" cy="75649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Trong đó, </w:t>
      </w:r>
      <w:r w:rsidDel="00000000" w:rsidR="00000000" w:rsidRPr="00000000">
        <w:rPr>
          <w:rFonts w:ascii="Google Sans" w:cs="Google Sans" w:eastAsia="Google Sans" w:hAnsi="Google Sans"/>
        </w:rPr>
        <w:drawing>
          <wp:inline distB="19050" distT="19050" distL="19050" distR="19050">
            <wp:extent cx="401836" cy="229621"/>
            <wp:effectExtent b="0" l="0" r="0" t="0"/>
            <wp:docPr id="87"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401836" cy="229621"/>
                    </a:xfrm>
                    <a:prstGeom prst="rect"/>
                    <a:ln/>
                  </pic:spPr>
                </pic:pic>
              </a:graphicData>
            </a:graphic>
          </wp:inline>
        </w:drawing>
      </w:r>
      <w:r w:rsidDel="00000000" w:rsidR="00000000" w:rsidRPr="00000000">
        <w:rPr>
          <w:rFonts w:ascii="Google Sans" w:cs="Google Sans" w:eastAsia="Google Sans" w:hAnsi="Google Sans"/>
          <w:rtl w:val="0"/>
        </w:rPr>
        <w:t xml:space="preserve"> là HVI trung bình đạt được, và </w:t>
      </w:r>
      <w:r w:rsidDel="00000000" w:rsidR="00000000" w:rsidRPr="00000000">
        <w:rPr>
          <w:rFonts w:ascii="Google Sans" w:cs="Google Sans" w:eastAsia="Google Sans" w:hAnsi="Google Sans"/>
        </w:rPr>
        <w:drawing>
          <wp:inline distB="19050" distT="19050" distL="19050" distR="19050">
            <wp:extent cx="370433" cy="227959"/>
            <wp:effectExtent b="0" l="0" r="0" t="0"/>
            <wp:docPr id="66"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370433" cy="227959"/>
                    </a:xfrm>
                    <a:prstGeom prst="rect"/>
                    <a:ln/>
                  </pic:spPr>
                </pic:pic>
              </a:graphicData>
            </a:graphic>
          </wp:inline>
        </w:drawing>
      </w:r>
      <w:r w:rsidDel="00000000" w:rsidR="00000000" w:rsidRPr="00000000">
        <w:rPr>
          <w:rFonts w:ascii="Google Sans" w:cs="Google Sans" w:eastAsia="Google Sans" w:hAnsi="Google Sans"/>
          <w:rtl w:val="0"/>
        </w:rPr>
        <w:t xml:space="preserve"> là chi phí trung bình (số lượng token) khi gọi LLM cho cụm </w:t>
      </w:r>
      <w:r w:rsidDel="00000000" w:rsidR="00000000" w:rsidRPr="00000000">
        <w:rPr>
          <w:rFonts w:ascii="Google Sans" w:cs="Google Sans" w:eastAsia="Google Sans" w:hAnsi="Google Sans"/>
        </w:rPr>
        <w:drawing>
          <wp:inline distB="19050" distT="19050" distL="19050" distR="19050">
            <wp:extent cx="101947" cy="222430"/>
            <wp:effectExtent b="0" l="0" r="0" t="0"/>
            <wp:docPr id="42"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rtl w:val="0"/>
        </w:rPr>
        <w:t xml:space="preserve">. Việc tối đa hóa </w:t>
      </w:r>
      <w:r w:rsidDel="00000000" w:rsidR="00000000" w:rsidRPr="00000000">
        <w:rPr>
          <w:rFonts w:ascii="Google Sans" w:cs="Google Sans" w:eastAsia="Google Sans" w:hAnsi="Google Sans"/>
        </w:rPr>
        <w:drawing>
          <wp:inline distB="19050" distT="19050" distL="19050" distR="19050">
            <wp:extent cx="511225" cy="217744"/>
            <wp:effectExtent b="0" l="0" r="0" t="0"/>
            <wp:docPr id="43"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511225" cy="217744"/>
                    </a:xfrm>
                    <a:prstGeom prst="rect"/>
                    <a:ln/>
                  </pic:spPr>
                </pic:pic>
              </a:graphicData>
            </a:graphic>
          </wp:inline>
        </w:drawing>
      </w:r>
      <w:r w:rsidDel="00000000" w:rsidR="00000000" w:rsidRPr="00000000">
        <w:rPr>
          <w:rFonts w:ascii="Google Sans" w:cs="Google Sans" w:eastAsia="Google Sans" w:hAnsi="Google Sans"/>
          <w:rtl w:val="0"/>
        </w:rPr>
        <w:t xml:space="preserve"> đảm bảo ngân sách được ưu tiên cho các cụm không chỉ mang lại hiệu suất toán học cao mà còn tốn ít tài nguyên sinh mã nhất.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Đề xuất Quy trình Thực hiện Toàn diện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Dựa trên sự hình thức hóa sâu sắc trên, chúng ta đề xuất một kiến trúc hệ thống mang tên </w:t>
      </w:r>
      <w:r w:rsidDel="00000000" w:rsidR="00000000" w:rsidRPr="00000000">
        <w:rPr>
          <w:rFonts w:ascii="Google Sans" w:cs="Google Sans" w:eastAsia="Google Sans" w:hAnsi="Google Sans"/>
          <w:b w:val="1"/>
          <w:bCs w:val="1"/>
          <w:rtl w:val="0"/>
        </w:rPr>
        <w:t xml:space="preserve">Budgeted MAB-LLM (BMAB-LLM)</w:t>
      </w:r>
      <w:r w:rsidDel="00000000" w:rsidR="00000000" w:rsidRPr="00000000">
        <w:rPr>
          <w:rFonts w:ascii="Google Sans" w:cs="Google Sans" w:eastAsia="Google Sans" w:hAnsi="Google Sans"/>
          <w:rtl w:val="0"/>
        </w:rPr>
        <w:t xml:space="preserve">. Lộ trình thực hiện trải qua 5 giai đoạn chính, tạo thành một chu trình khép kín từ khởi tạo, cấp phát tài nguyên, đến cập nhật tương tác. Việc miêu tả chi tiết từng bước này đóng vai trò như một bản thiết kế hệ thống (system architecture blueprint) cho đồ án tốt nghiệp.</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1: Khởi tạo Hệ thống và Thiết lập Cơ sở</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Quá trình bắt đầu bằng việc số hóa các tham số môi trường và bài toán MOCOP mục tiêu (ví dụ: Bi-TSP với kích thước đỉnh là 20 hoặc 50).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Hệ thống khởi tạo bộ đếm ngân sách toàn cục Remaining_Budget = B. Để thuật toán MAB có dữ liệu nền tảng hoạt động, hệ thống sử dụng LLM ở chế độ zero-shot để sinh ra một quần thể khởi tạo gồm </w:t>
      </w:r>
      <w:r w:rsidDel="00000000" w:rsidR="00000000" w:rsidRPr="00000000">
        <w:rPr>
          <w:rFonts w:ascii="Google Sans" w:cs="Google Sans" w:eastAsia="Google Sans" w:hAnsi="Google Sans"/>
        </w:rPr>
        <w:drawing>
          <wp:inline distB="19050" distT="19050" distL="19050" distR="19050">
            <wp:extent cx="168176" cy="224234"/>
            <wp:effectExtent b="0" l="0" r="0" t="0"/>
            <wp:docPr id="44"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168176" cy="224234"/>
                    </a:xfrm>
                    <a:prstGeom prst="rect"/>
                    <a:ln/>
                  </pic:spPr>
                </pic:pic>
              </a:graphicData>
            </a:graphic>
          </wp:inline>
        </w:drawing>
      </w:r>
      <w:r w:rsidDel="00000000" w:rsidR="00000000" w:rsidRPr="00000000">
        <w:rPr>
          <w:rFonts w:ascii="Google Sans" w:cs="Google Sans" w:eastAsia="Google Sans" w:hAnsi="Google Sans"/>
          <w:rtl w:val="0"/>
        </w:rPr>
        <w:t xml:space="preserve"> đoạn mã heuristic ngẫu nhiên.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Các heuristic này được thực thi thử nghiệm qua một số lượng giới hạn vòng lặp thuật toán SEMO để đo lường các đặc tính ban đầu bao gồm thời gian chạy, chất lượng đường biên Pareto và dung lượng mã nguồn. Mỗi lời gọi LLM ở giai đoạn này sẽ khấu trừ trực tiếp vào Remaining_Budget. Tập hợp các giải pháp Pareto thu được tại điểm này tạo thành kho lưu trữ tham chiếu </w:t>
      </w:r>
      <w:r w:rsidDel="00000000" w:rsidR="00000000" w:rsidRPr="00000000">
        <w:rPr>
          <w:rFonts w:ascii="Google Sans" w:cs="Google Sans" w:eastAsia="Google Sans" w:hAnsi="Google Sans"/>
        </w:rPr>
        <w:drawing>
          <wp:inline distB="19050" distT="19050" distL="19050" distR="19050">
            <wp:extent cx="368052" cy="217056"/>
            <wp:effectExtent b="0" l="0" r="0" t="0"/>
            <wp:docPr id="46"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368052" cy="217056"/>
                    </a:xfrm>
                    <a:prstGeom prst="rect"/>
                    <a:ln/>
                  </pic:spPr>
                </pic:pic>
              </a:graphicData>
            </a:graphic>
          </wp:inline>
        </w:drawing>
      </w:r>
      <w:r w:rsidDel="00000000" w:rsidR="00000000" w:rsidRPr="00000000">
        <w:rPr>
          <w:rFonts w:ascii="Google Sans" w:cs="Google Sans" w:eastAsia="Google Sans" w:hAnsi="Google Sans"/>
          <w:rtl w:val="0"/>
        </w:rPr>
        <w:t xml:space="preserve"> đầu tiên để tính toán chỉ số Hypervolume.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2: Trích xuất Không gian Lưới và Xây dựng Định danh Cụm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Tương tự như MPaGE nguyên bản, hệ thống áp dụng kỹ thuật Lưới Tiền phương Pareto (PFG) lên quần thể khởi tạo.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Không gian hai chiều (thời gian tính toán và giá trị siêu khối lượng âm) được chuẩn hóa và chia nhỏ. Các đại diện ưu tú ở cực trị của từng ô lưới được chọn lọc để tạo thành tập hợp tinh hoa. Tuy nhiên, thay vì chỉ lưu trữ mã nguồn, hệ thống chuyển các heuristic này cho một luồng phụ của LLM (hoặc một mô hình nhúng mã chuyên dụng) để thực hiện quá trình Phân cụm Ngữ nghĩa.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LLM phân tích chuỗi logic điều khiển, cơ chế chọn lọc lân cận và quy tắc toán học bên trong đoạn mã để gom chúng thành </w:t>
      </w:r>
      <w:r w:rsidDel="00000000" w:rsidR="00000000" w:rsidRPr="00000000">
        <w:rPr>
          <w:rFonts w:ascii="Google Sans" w:cs="Google Sans" w:eastAsia="Google Sans" w:hAnsi="Google Sans"/>
        </w:rPr>
        <w:drawing>
          <wp:inline distB="19050" distT="19050" distL="19050" distR="19050">
            <wp:extent cx="169664" cy="226219"/>
            <wp:effectExtent b="0" l="0" r="0" t="0"/>
            <wp:docPr id="48"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rtl w:val="0"/>
        </w:rPr>
        <w:t xml:space="preserve"> cụm định danh rõ ràng. Mọi cụm </w:t>
      </w:r>
      <w:r w:rsidDel="00000000" w:rsidR="00000000" w:rsidRPr="00000000">
        <w:rPr>
          <w:rFonts w:ascii="Google Sans" w:cs="Google Sans" w:eastAsia="Google Sans" w:hAnsi="Google Sans"/>
        </w:rPr>
        <w:drawing>
          <wp:inline distB="19050" distT="19050" distL="19050" distR="19050">
            <wp:extent cx="212229" cy="231522"/>
            <wp:effectExtent b="0" l="0" r="0" t="0"/>
            <wp:docPr id="50"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212229" cy="231522"/>
                    </a:xfrm>
                    <a:prstGeom prst="rect"/>
                    <a:ln/>
                  </pic:spPr>
                </pic:pic>
              </a:graphicData>
            </a:graphic>
          </wp:inline>
        </w:drawing>
      </w:r>
      <w:r w:rsidDel="00000000" w:rsidR="00000000" w:rsidRPr="00000000">
        <w:rPr>
          <w:rFonts w:ascii="Google Sans" w:cs="Google Sans" w:eastAsia="Google Sans" w:hAnsi="Google Sans"/>
          <w:rtl w:val="0"/>
        </w:rPr>
        <w:t xml:space="preserve"> mới xuất hiện sẽ được đăng ký như một "cánh tay" mới trong hệ thống quản lý của Budgeted MAB. Hồ sơ thống kê của từng cụm bao gồm số lần được chọn </w:t>
      </w:r>
      <w:r w:rsidDel="00000000" w:rsidR="00000000" w:rsidRPr="00000000">
        <w:rPr>
          <w:rFonts w:ascii="Google Sans" w:cs="Google Sans" w:eastAsia="Google Sans" w:hAnsi="Google Sans"/>
        </w:rPr>
        <w:drawing>
          <wp:inline distB="19050" distT="19050" distL="19050" distR="19050">
            <wp:extent cx="228451" cy="228451"/>
            <wp:effectExtent b="0" l="0" r="0" t="0"/>
            <wp:docPr id="52"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228451" cy="228451"/>
                    </a:xfrm>
                    <a:prstGeom prst="rect"/>
                    <a:ln/>
                  </pic:spPr>
                </pic:pic>
              </a:graphicData>
            </a:graphic>
          </wp:inline>
        </w:drawing>
      </w:r>
      <w:r w:rsidDel="00000000" w:rsidR="00000000" w:rsidRPr="00000000">
        <w:rPr>
          <w:rFonts w:ascii="Google Sans" w:cs="Google Sans" w:eastAsia="Google Sans" w:hAnsi="Google Sans"/>
          <w:rtl w:val="0"/>
        </w:rPr>
        <w:t xml:space="preserve">, tổng phần thưởng tích lũy, và chi phí trung bình </w:t>
      </w:r>
      <w:r w:rsidDel="00000000" w:rsidR="00000000" w:rsidRPr="00000000">
        <w:rPr>
          <w:rFonts w:ascii="Google Sans" w:cs="Google Sans" w:eastAsia="Google Sans" w:hAnsi="Google Sans"/>
        </w:rPr>
        <w:drawing>
          <wp:inline distB="19050" distT="19050" distL="19050" distR="19050">
            <wp:extent cx="160288" cy="216860"/>
            <wp:effectExtent b="0" l="0" r="0" t="0"/>
            <wp:docPr id="54"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160288" cy="216860"/>
                    </a:xfrm>
                    <a:prstGeom prst="rect"/>
                    <a:ln/>
                  </pic:spPr>
                </pic:pic>
              </a:graphicData>
            </a:graphic>
          </wp:inline>
        </w:drawing>
      </w:r>
      <w:r w:rsidDel="00000000" w:rsidR="00000000" w:rsidRPr="00000000">
        <w:rPr>
          <w:rFonts w:ascii="Google Sans" w:cs="Google Sans" w:eastAsia="Google Sans" w:hAnsi="Google Sans"/>
          <w:rtl w:val="0"/>
        </w:rPr>
        <w:t xml:space="preserve"> được thiết lập bằng các giá trị khởi tạo lạc quan (Optimistic Initial Values) để khuyến khích sự khám phá trong giai đoạn đầu.</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3: Định tuyến Thông minh bằng Toán tử MAB Ràng buộc</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Đây là phân hệ cốt lõi thay thế hoàn toàn cơ chế lấy mẫu ngẫu nhiên (uniform sampling) cứng nhắc của thuật toán cũ.</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Chừng nào Remaining_Budget &gt; 0, thuật toán định tuyến sẽ tính toán điểm số UCB cho mọi nhánh của toàn bộ </w:t>
      </w:r>
      <w:r w:rsidDel="00000000" w:rsidR="00000000" w:rsidRPr="00000000">
        <w:rPr>
          <w:rFonts w:ascii="Google Sans" w:cs="Google Sans" w:eastAsia="Google Sans" w:hAnsi="Google Sans"/>
        </w:rPr>
        <w:drawing>
          <wp:inline distB="19050" distT="19050" distL="19050" distR="19050">
            <wp:extent cx="169664" cy="226219"/>
            <wp:effectExtent b="0" l="0" r="0" t="0"/>
            <wp:docPr id="56"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69664" cy="226219"/>
                    </a:xfrm>
                    <a:prstGeom prst="rect"/>
                    <a:ln/>
                  </pic:spPr>
                </pic:pic>
              </a:graphicData>
            </a:graphic>
          </wp:inline>
        </w:drawing>
      </w:r>
      <w:r w:rsidDel="00000000" w:rsidR="00000000" w:rsidRPr="00000000">
        <w:rPr>
          <w:rFonts w:ascii="Google Sans" w:cs="Google Sans" w:eastAsia="Google Sans" w:hAnsi="Google Sans"/>
          <w:rtl w:val="0"/>
        </w:rPr>
        <w:t xml:space="preserve"> cụm hiện có. Điểm số này cân bằng một cách toán học giữa hiệu suất lịch sử, mức độ tin cậy của dữ liệu và chi phí tài nguyên dự kiến.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Cụm </w:t>
      </w:r>
      <w:r w:rsidDel="00000000" w:rsidR="00000000" w:rsidRPr="00000000">
        <w:rPr>
          <w:rFonts w:ascii="Google Sans" w:cs="Google Sans" w:eastAsia="Google Sans" w:hAnsi="Google Sans"/>
        </w:rPr>
        <w:drawing>
          <wp:inline distB="19050" distT="19050" distL="19050" distR="19050">
            <wp:extent cx="267444" cy="229238"/>
            <wp:effectExtent b="0" l="0" r="0" t="0"/>
            <wp:docPr id="40"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267444" cy="229238"/>
                    </a:xfrm>
                    <a:prstGeom prst="rect"/>
                    <a:ln/>
                  </pic:spPr>
                </pic:pic>
              </a:graphicData>
            </a:graphic>
          </wp:inline>
        </w:drawing>
      </w:r>
      <w:r w:rsidDel="00000000" w:rsidR="00000000" w:rsidRPr="00000000">
        <w:rPr>
          <w:rFonts w:ascii="Google Sans" w:cs="Google Sans" w:eastAsia="Google Sans" w:hAnsi="Google Sans"/>
          <w:rtl w:val="0"/>
        </w:rPr>
        <w:t xml:space="preserve"> và toán tử tương ứng (Mutate hoặc Crossover) đạt điểm số cao nhất sẽ được chọn làm mục tiêu chiến thắng. Cơ chế này đảm bảo rằng các lượt gọi API quý giá không bao giờ bị lãng phí vào các cụm đã được chứng minh là sinh ra mã kém chất lượng hoặc liên tục tạo ra giải pháp bị thống trị.</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Hệ thống rút ngẫu nhiên một (hoặc hai, nếu là Crossover) heuristic đại diện từ cụm </w:t>
      </w:r>
      <w:r w:rsidDel="00000000" w:rsidR="00000000" w:rsidRPr="00000000">
        <w:rPr>
          <w:rFonts w:ascii="Google Sans" w:cs="Google Sans" w:eastAsia="Google Sans" w:hAnsi="Google Sans"/>
        </w:rPr>
        <w:drawing>
          <wp:inline distB="19050" distT="19050" distL="19050" distR="19050">
            <wp:extent cx="267444" cy="229238"/>
            <wp:effectExtent b="0" l="0" r="0" t="0"/>
            <wp:docPr id="41"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267444" cy="229238"/>
                    </a:xfrm>
                    <a:prstGeom prst="rect"/>
                    <a:ln/>
                  </pic:spPr>
                </pic:pic>
              </a:graphicData>
            </a:graphic>
          </wp:inline>
        </w:drawing>
      </w:r>
      <w:r w:rsidDel="00000000" w:rsidR="00000000" w:rsidRPr="00000000">
        <w:rPr>
          <w:rFonts w:ascii="Google Sans" w:cs="Google Sans" w:eastAsia="Google Sans" w:hAnsi="Google Sans"/>
          <w:rtl w:val="0"/>
        </w:rPr>
        <w:t xml:space="preserve"> để chuyển sang module biên dịch prompt.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4: Sinh Mã, Đánh giá và Tính toán Tín dụng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Dựa trên sự điều hướng từ MAB, hệ thống xây dựng prompt yêu cầu LLM đóng vai trò như một chuyên gia tối ưu hóa, nhận mã nguồn đại diện và tiến hành biến dị mã theo hướng dẫn phản hồi.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Sau khi nhận phản hồi từ API, Remaining_Budget bị trừ đi một lượng tương ứng với chi phí thực tế (số lượng token hoặc 1 đơn vị call). Đoạn mã mới sinh </w:t>
      </w:r>
      <w:r w:rsidDel="00000000" w:rsidR="00000000" w:rsidRPr="00000000">
        <w:rPr>
          <w:rFonts w:ascii="Google Sans" w:cs="Google Sans" w:eastAsia="Google Sans" w:hAnsi="Google Sans"/>
        </w:rPr>
        <w:drawing>
          <wp:inline distB="19050" distT="19050" distL="19050" distR="19050">
            <wp:extent cx="348853" cy="226283"/>
            <wp:effectExtent b="0" l="0" r="0" t="0"/>
            <wp:docPr id="22"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48853" cy="226283"/>
                    </a:xfrm>
                    <a:prstGeom prst="rect"/>
                    <a:ln/>
                  </pic:spPr>
                </pic:pic>
              </a:graphicData>
            </a:graphic>
          </wp:inline>
        </w:drawing>
      </w:r>
      <w:r w:rsidDel="00000000" w:rsidR="00000000" w:rsidRPr="00000000">
        <w:rPr>
          <w:rFonts w:ascii="Google Sans" w:cs="Google Sans" w:eastAsia="Google Sans" w:hAnsi="Google Sans"/>
          <w:rtl w:val="0"/>
        </w:rPr>
        <w:t xml:space="preserve"> được nhúng vào thuật toán cục bộ SEMO và chạy đánh giá trên bài toán mục tiêu. Đường biên Pareto mới được đối chiếu với đường biên cũ. Hệ thống đo lường mức độ cải thiện siêu khối lượng </w:t>
      </w:r>
      <w:r w:rsidDel="00000000" w:rsidR="00000000" w:rsidRPr="00000000">
        <w:rPr>
          <w:rFonts w:ascii="Google Sans" w:cs="Google Sans" w:eastAsia="Google Sans" w:hAnsi="Google Sans"/>
        </w:rPr>
        <w:drawing>
          <wp:inline distB="19050" distT="19050" distL="19050" distR="19050">
            <wp:extent cx="470297" cy="230349"/>
            <wp:effectExtent b="0" l="0" r="0" t="0"/>
            <wp:docPr id="23"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470297" cy="230349"/>
                    </a:xfrm>
                    <a:prstGeom prst="rect"/>
                    <a:ln/>
                  </pic:spPr>
                </pic:pic>
              </a:graphicData>
            </a:graphic>
          </wp:inline>
        </w:drawing>
      </w:r>
      <w:r w:rsidDel="00000000" w:rsidR="00000000" w:rsidRPr="00000000">
        <w:rPr>
          <w:rFonts w:ascii="Google Sans" w:cs="Google Sans" w:eastAsia="Google Sans" w:hAnsi="Google Sans"/>
          <w:rtl w:val="0"/>
        </w:rPr>
        <w:t xml:space="preserve">. Giá trị này được đưa qua hàm chuẩn hóa cực đại (Extreme Value) để triệt tiêu phương sai.</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Nếu LLM sinh ra đoạn mã vi phạm cú pháp hoặc vượt quá giới hạn thời gian thực thi (timeout), hệ thống không dừng lại báo lỗi mà ghi nhận một mức tín dụng âm sâu sắc cho cụm </w:t>
      </w:r>
      <w:r w:rsidDel="00000000" w:rsidR="00000000" w:rsidRPr="00000000">
        <w:rPr>
          <w:rFonts w:ascii="Google Sans" w:cs="Google Sans" w:eastAsia="Google Sans" w:hAnsi="Google Sans"/>
        </w:rPr>
        <w:drawing>
          <wp:inline distB="19050" distT="19050" distL="19050" distR="19050">
            <wp:extent cx="267444" cy="229238"/>
            <wp:effectExtent b="0" l="0" r="0" t="0"/>
            <wp:docPr id="25"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267444" cy="229238"/>
                    </a:xfrm>
                    <a:prstGeom prst="rect"/>
                    <a:ln/>
                  </pic:spPr>
                </pic:pic>
              </a:graphicData>
            </a:graphic>
          </wp:inline>
        </w:drawing>
      </w:r>
      <w:r w:rsidDel="00000000" w:rsidR="00000000" w:rsidRPr="00000000">
        <w:rPr>
          <w:rFonts w:ascii="Google Sans" w:cs="Google Sans" w:eastAsia="Google Sans" w:hAnsi="Google Sans"/>
          <w:rtl w:val="0"/>
        </w:rPr>
        <w:t xml:space="preserve">, gửi tín hiệu phản hồi mạnh mẽ để MAB từ chối cụm này trong tương lai.</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Giai đoạn 5: Thích ứng Môi trường Động và Cập nhật Quần thể</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Hệ thống kết thúc một vòng lặp bằng việc cập nhật các giá trị thống kê </w:t>
      </w:r>
      <w:r w:rsidDel="00000000" w:rsidR="00000000" w:rsidRPr="00000000">
        <w:rPr>
          <w:rFonts w:ascii="Google Sans" w:cs="Google Sans" w:eastAsia="Google Sans" w:hAnsi="Google Sans"/>
        </w:rPr>
        <w:drawing>
          <wp:inline distB="19050" distT="19050" distL="19050" distR="19050">
            <wp:extent cx="283666" cy="226933"/>
            <wp:effectExtent b="0" l="0" r="0" t="0"/>
            <wp:docPr id="27"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283666" cy="226933"/>
                    </a:xfrm>
                    <a:prstGeom prst="rect"/>
                    <a:ln/>
                  </pic:spPr>
                </pic:pic>
              </a:graphicData>
            </a:graphic>
          </wp:inline>
        </w:drawing>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rPr>
        <w:drawing>
          <wp:inline distB="19050" distT="19050" distL="19050" distR="19050">
            <wp:extent cx="246906" cy="218417"/>
            <wp:effectExtent b="0" l="0" r="0" t="0"/>
            <wp:docPr id="29"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246906" cy="218417"/>
                    </a:xfrm>
                    <a:prstGeom prst="rect"/>
                    <a:ln/>
                  </pic:spPr>
                </pic:pic>
              </a:graphicData>
            </a:graphic>
          </wp:inline>
        </w:drawing>
      </w:r>
      <w:r w:rsidDel="00000000" w:rsidR="00000000" w:rsidRPr="00000000">
        <w:rPr>
          <w:rFonts w:ascii="Google Sans" w:cs="Google Sans" w:eastAsia="Google Sans" w:hAnsi="Google Sans"/>
          <w:rtl w:val="0"/>
        </w:rPr>
        <w:t xml:space="preserve"> cho MAB. Tuy nhiên, để đối phó với hiện tượng hội tụ tự nhiên của các thuật toán tiến hóa—nơi một cụm xuất sắc ở thời điểm </w:t>
      </w:r>
      <w:r w:rsidDel="00000000" w:rsidR="00000000" w:rsidRPr="00000000">
        <w:rPr>
          <w:rFonts w:ascii="Google Sans" w:cs="Google Sans" w:eastAsia="Google Sans" w:hAnsi="Google Sans"/>
        </w:rPr>
        <w:drawing>
          <wp:inline distB="19050" distT="19050" distL="19050" distR="19050">
            <wp:extent cx="66675" cy="228600"/>
            <wp:effectExtent b="0" l="0" r="0" t="0"/>
            <wp:docPr id="3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rtl w:val="0"/>
        </w:rPr>
        <w:t xml:space="preserve"> có thể hoàn toàn bế tắc ở thời điểm </w:t>
      </w:r>
      <w:r w:rsidDel="00000000" w:rsidR="00000000" w:rsidRPr="00000000">
        <w:rPr>
          <w:rFonts w:ascii="Google Sans" w:cs="Google Sans" w:eastAsia="Google Sans" w:hAnsi="Google Sans"/>
        </w:rPr>
        <w:drawing>
          <wp:inline distB="19050" distT="19050" distL="19050" distR="19050">
            <wp:extent cx="568971" cy="227588"/>
            <wp:effectExtent b="0" l="0" r="0" t="0"/>
            <wp:docPr id="33"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568971" cy="227588"/>
                    </a:xfrm>
                    <a:prstGeom prst="rect"/>
                    <a:ln/>
                  </pic:spPr>
                </pic:pic>
              </a:graphicData>
            </a:graphic>
          </wp:inline>
        </w:drawing>
      </w:r>
      <w:r w:rsidDel="00000000" w:rsidR="00000000" w:rsidRPr="00000000">
        <w:rPr>
          <w:rFonts w:ascii="Google Sans" w:cs="Google Sans" w:eastAsia="Google Sans" w:hAnsi="Google Sans"/>
          <w:rtl w:val="0"/>
        </w:rPr>
        <w:t xml:space="preserve">—hệ thống kích hoạt module Page-Hinkley Test (PH Test) chạy ngầm.</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PH Test theo dõi chuỗi phần thưởng của từng cụm. Ngay khi phát hiện sự suy giảm HVI mang tính xu hướng, nó sẽ thiết lập lại trạng thái bộ nhớ của cụm đó, ép mức độ tự tin xuống thấp và buộc thuật toán phải giải phóng ngân sách để khám phá lại các cụm khác.</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Cuối cùng, heuristic mới được đánh giá tính không bị thống trị và chèn vào quần thể tổng thể để chuẩn bị cho chu trình tái phân mảnh Lưới Pareto tiếp theo, vòng lặp cứ thế tiếp diễn cho đến khi kiệt quệ ngân sách </w:t>
      </w:r>
      <w:r w:rsidDel="00000000" w:rsidR="00000000" w:rsidRPr="00000000">
        <w:rPr>
          <w:rFonts w:ascii="Google Sans" w:cs="Google Sans" w:eastAsia="Google Sans" w:hAnsi="Google Sans"/>
        </w:rPr>
        <w:drawing>
          <wp:inline distB="19050" distT="19050" distL="19050" distR="19050">
            <wp:extent cx="149275" cy="223912"/>
            <wp:effectExtent b="0" l="0" r="0" t="0"/>
            <wp:docPr id="3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Kế hoạch Bổ sung, Thực nghiệm và Đánh giá</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chứng minh rằng việc áp dụng Budgeted MAB khắc phục được tình trạng "cào bằng xác suất" và "tốn kém tài nguyên" một cách thuyết phục, đồ án cần thiết lập một chiến lược thực nghiệm vô cùng nghiêm ngặt. Việc thiết kế hệ thống đánh giá đòi hỏi phải lượng hóa được lợi ích tài nguyên trên mỗi đơn vị chất lượng mang lại.</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Khung Thiết lập Bộ dữ liệu Benchmark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Các thuật toán cần được kiểm thử trên các bộ dữ liệu tiêu chuẩn được công nhận rộng rãi trong mảng tối ưu hóa tổ hợp đa mục tiêu.</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Để đảm bảo sự công bằng trong đối chiếu, các bài toán benchmark cần có mức độ phức tạp đa dạng, từ không gian tổ hợp nhỏ đến lớn.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Ký hiệu Bài toán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Tên Đầy đủ</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Đặc điểm Không gian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Số lượng Mục tiêu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Kích thước Instance Thử nghiệm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Bi-TSP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Bi-objective Traveling Salesman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Hoán vị tuyến đường, NP-hard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(Khoảng cách theo 2 trọng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20, 50, 100, 150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Tri-TSP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Tri-objective Traveling Salesman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Hoán vị, mức độ xung đột cực 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(Khoảng cách theo 3 trọng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20, 50, 100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Bi-CVRP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Bi-objective Capacitated Vehicle Routing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Định tuyến có ràng buộc năng lực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(Khoảng cách &amp; Thời gian hoàn thành)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20, 50, 100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Bi-KP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Bi-objective Knapsack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Lựa chọn nhị phân, giới hạn trọng lượng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(Tối đa hóa 2 loại lợi nhuận)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50, 100, 200</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Bảng 1: Tổng hợp các Bộ dữ liệu Benchmark cho MOCOP, được căn chỉnh theo thiết lập của bài báo MPaGE.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Các Chỉ số Đo lường Hiệu suất Đặc thù</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Việc so sánh không thể chỉ dừng lại ở các chỉ số chất lượng thuần túy, mà phải đo lường "hiệu quả sử dụng ngân sách". Các chỉ số chính bao gồm:</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Hypervolume (HV) và Inverted Generational Distance (IGD):</w:t>
      </w:r>
      <w:r w:rsidDel="00000000" w:rsidR="00000000" w:rsidRPr="00000000">
        <w:rPr>
          <w:rFonts w:ascii="Google Sans" w:cs="Google Sans" w:eastAsia="Google Sans" w:hAnsi="Google Sans"/>
          <w:rtl w:val="0"/>
        </w:rPr>
        <w:t xml:space="preserve"> Đây là hai chỉ số toàn cục đo lường chất lượng của đường biên Pareto cuối cùng.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HV đo lường thể tích bị chi phối (càng lớn càng tốt), trong khi IGD đo khoảng cách trung bình từ các điểm giải pháp đến đường biên thực sự (càng nhỏ càng tốt).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Chỉ số Đa dạng (SWDI/CDI):</w:t>
      </w:r>
      <w:r w:rsidDel="00000000" w:rsidR="00000000" w:rsidRPr="00000000">
        <w:rPr>
          <w:rFonts w:ascii="Google Sans" w:cs="Google Sans" w:eastAsia="Google Sans" w:hAnsi="Google Sans"/>
          <w:rtl w:val="0"/>
        </w:rPr>
        <w:t xml:space="preserve"> Nhằm đảm bảo rằng việc MAB tập trung khai thác một số tay quay nhất định không làm thui chột tính đa dạng của quần thể heuristic. Shannon-Wiener Diversity Index (SWDI) tính toán mức độ phân bổ đồng đều của các cá thể qua các cụm.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Diện tích Dưới đường cong Ngân sách (Area Under Budget Curve - AUBC):</w:t>
      </w:r>
      <w:r w:rsidDel="00000000" w:rsidR="00000000" w:rsidRPr="00000000">
        <w:rPr>
          <w:rFonts w:ascii="Google Sans" w:cs="Google Sans" w:eastAsia="Google Sans" w:hAnsi="Google Sans"/>
          <w:rtl w:val="0"/>
        </w:rPr>
        <w:t xml:space="preserve"> Đây là một chỉ số đề xuất mới. Đồ thị sẽ biểu diễn trục hoành là Số lượng cuộc gọi LLM tiêu thụ (Consumed Budget) và trục tung là giá trị Hypervolume đạt được. Tính toán diện tích dưới đồ thị này. Một thuật toán sở hữu cơ chế MAB tốt sẽ có đường cong HV dốc lên cực kỳ nhanh chóng trong những lần gọi LLM đầu tiên, tạo ra một AUBC lớn hơn đáng kể so với phương pháp phân phối đều của MPaGE gốc.</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Phân tích Cắt bỏ và Đánh giá Cấu trúc (Ablation Studies)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chứng minh vững chắc rằng MAB là nguồn gốc của sự cải thiện, đồ án cần lên kịch bản chạy thử nghiệm có kiểm soát (Ablation Studies):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Thiết lập 1 (MPaGE nguyên bản):</w:t>
      </w:r>
      <w:r w:rsidDel="00000000" w:rsidR="00000000" w:rsidRPr="00000000">
        <w:rPr>
          <w:rFonts w:ascii="Google Sans" w:cs="Google Sans" w:eastAsia="Google Sans" w:hAnsi="Google Sans"/>
          <w:rtl w:val="0"/>
        </w:rPr>
        <w:t xml:space="preserve"> Chạy thuật toán với xác suất cố định </w:t>
      </w:r>
      <w:r w:rsidDel="00000000" w:rsidR="00000000" w:rsidRPr="00000000">
        <w:rPr>
          <w:rFonts w:ascii="Google Sans" w:cs="Google Sans" w:eastAsia="Google Sans" w:hAnsi="Google Sans"/>
        </w:rPr>
        <w:drawing>
          <wp:inline distB="19050" distT="19050" distL="19050" distR="19050">
            <wp:extent cx="105668" cy="230548"/>
            <wp:effectExtent b="0" l="0" r="0" t="0"/>
            <wp:docPr id="1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05668" cy="230548"/>
                    </a:xfrm>
                    <a:prstGeom prst="rect"/>
                    <a:ln/>
                  </pic:spPr>
                </pic:pic>
              </a:graphicData>
            </a:graphic>
          </wp:inline>
        </w:drawing>
      </w:r>
      <w:r w:rsidDel="00000000" w:rsidR="00000000" w:rsidRPr="00000000">
        <w:rPr>
          <w:rFonts w:ascii="Google Sans" w:cs="Google Sans" w:eastAsia="Google Sans" w:hAnsi="Google Sans"/>
          <w:rtl w:val="0"/>
        </w:rPr>
        <w:t xml:space="preserve"> và chọn cụm ngẫu nhiên phân phối đều </w:t>
      </w:r>
      <w:r w:rsidDel="00000000" w:rsidR="00000000" w:rsidRPr="00000000">
        <w:rPr>
          <w:rFonts w:ascii="Google Sans" w:cs="Google Sans" w:eastAsia="Google Sans" w:hAnsi="Google Sans"/>
        </w:rPr>
        <w:drawing>
          <wp:inline distB="19050" distT="19050" distL="19050" distR="19050">
            <wp:extent cx="133796" cy="219809"/>
            <wp:effectExtent b="0" l="0" r="0" t="0"/>
            <wp:docPr id="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33796" cy="219809"/>
                    </a:xfrm>
                    <a:prstGeom prst="rect"/>
                    <a:ln/>
                  </pic:spPr>
                </pic:pic>
              </a:graphicData>
            </a:graphic>
          </wp:inline>
        </w:drawing>
      </w:r>
      <w:r w:rsidDel="00000000" w:rsidR="00000000" w:rsidRPr="00000000">
        <w:rPr>
          <w:rFonts w:ascii="Google Sans" w:cs="Google Sans" w:eastAsia="Google Sans" w:hAnsi="Google Sans"/>
          <w:rtl w:val="0"/>
        </w:rPr>
        <w:t xml:space="preserve">, đo lường chi phí LLM thực tế.</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Thiết lập 2 (BMAB-LLM không có D-MAB):</w:t>
      </w:r>
      <w:r w:rsidDel="00000000" w:rsidR="00000000" w:rsidRPr="00000000">
        <w:rPr>
          <w:rFonts w:ascii="Google Sans" w:cs="Google Sans" w:eastAsia="Google Sans" w:hAnsi="Google Sans"/>
          <w:rtl w:val="0"/>
        </w:rPr>
        <w:t xml:space="preserve"> Áp dụng Budgeted MAB nhưng không có kiểm định Page-Hinkley để xem hiện tượng hội tụ sớm (premature convergence) có xảy ra hay không.</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Thiết lập 3 (BMAB-LLM Đầy đủ):</w:t>
      </w:r>
      <w:r w:rsidDel="00000000" w:rsidR="00000000" w:rsidRPr="00000000">
        <w:rPr>
          <w:rFonts w:ascii="Google Sans" w:cs="Google Sans" w:eastAsia="Google Sans" w:hAnsi="Google Sans"/>
          <w:rtl w:val="0"/>
        </w:rPr>
        <w:t xml:space="preserve"> Khung đề xuất hoàn chỉnh với ngân sách </w:t>
      </w:r>
      <w:r w:rsidDel="00000000" w:rsidR="00000000" w:rsidRPr="00000000">
        <w:rPr>
          <w:rFonts w:ascii="Google Sans" w:cs="Google Sans" w:eastAsia="Google Sans" w:hAnsi="Google Sans"/>
        </w:rPr>
        <w:drawing>
          <wp:inline distB="19050" distT="19050" distL="19050" distR="19050">
            <wp:extent cx="149275" cy="223912"/>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rtl w:val="0"/>
        </w:rPr>
        <w:t xml:space="preserve"> bị ép ở các mức </w:t>
      </w:r>
      <w:r w:rsidDel="00000000" w:rsidR="00000000" w:rsidRPr="00000000">
        <w:rPr>
          <w:rFonts w:ascii="Google Sans" w:cs="Google Sans" w:eastAsia="Google Sans" w:hAnsi="Google Sans"/>
        </w:rPr>
        <w:drawing>
          <wp:inline distB="19050" distT="19050" distL="19050" distR="19050">
            <wp:extent cx="1297335" cy="228941"/>
            <wp:effectExtent b="0" l="0" r="0" t="0"/>
            <wp:docPr id="2"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1297335" cy="228941"/>
                    </a:xfrm>
                    <a:prstGeom prst="rect"/>
                    <a:ln/>
                  </pic:spPr>
                </pic:pic>
              </a:graphicData>
            </a:graphic>
          </wp:inline>
        </w:drawing>
      </w:r>
      <w:r w:rsidDel="00000000" w:rsidR="00000000" w:rsidRPr="00000000">
        <w:rPr>
          <w:rFonts w:ascii="Google Sans" w:cs="Google Sans" w:eastAsia="Google Sans" w:hAnsi="Google Sans"/>
          <w:rtl w:val="0"/>
        </w:rPr>
        <w:t xml:space="preserve"> lần gọi. Quan sát mức độ vượt trội của chất lượng nghiệm khi ngân sách bị thắt chặt nghiêm trọng. Việc mô hình BMAB-LLM với </w:t>
      </w:r>
      <w:r w:rsidDel="00000000" w:rsidR="00000000" w:rsidRPr="00000000">
        <w:rPr>
          <w:rFonts w:ascii="Google Sans" w:cs="Google Sans" w:eastAsia="Google Sans" w:hAnsi="Google Sans"/>
        </w:rPr>
        <w:drawing>
          <wp:inline distB="19050" distT="19050" distL="19050" distR="19050">
            <wp:extent cx="579983" cy="228190"/>
            <wp:effectExtent b="0" l="0" r="0" t="0"/>
            <wp:docPr id="4" name="image5.png"/>
            <a:graphic>
              <a:graphicData uri="http://schemas.openxmlformats.org/drawingml/2006/picture">
                <pic:pic>
                  <pic:nvPicPr>
                    <pic:cNvPr id="0" name="image5.png"/>
                    <pic:cNvPicPr preferRelativeResize="0"/>
                  </pic:nvPicPr>
                  <pic:blipFill>
                    <a:blip r:embed="rId59"/>
                    <a:srcRect b="0" l="0" r="0" t="0"/>
                    <a:stretch>
                      <a:fillRect/>
                    </a:stretch>
                  </pic:blipFill>
                  <pic:spPr>
                    <a:xfrm>
                      <a:off x="0" y="0"/>
                      <a:ext cx="579983" cy="228190"/>
                    </a:xfrm>
                    <a:prstGeom prst="rect"/>
                    <a:ln/>
                  </pic:spPr>
                </pic:pic>
              </a:graphicData>
            </a:graphic>
          </wp:inline>
        </w:drawing>
      </w:r>
      <w:r w:rsidDel="00000000" w:rsidR="00000000" w:rsidRPr="00000000">
        <w:rPr>
          <w:rFonts w:ascii="Google Sans" w:cs="Google Sans" w:eastAsia="Google Sans" w:hAnsi="Google Sans"/>
          <w:rtl w:val="0"/>
        </w:rPr>
        <w:t xml:space="preserve"> có thể đạt được HVI tương đương MPaGE nguyên bản tiêu thụ 200 lượt gọi sẽ là minh chứng tuyệt đối cho thành công của đề tài.</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6.4 Mở rộng Nâng cao: Tích hợp Ràng buộc Đa dạng vào MAB (Diversity-Aware MAB)</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Một rủi ro lớn trong học tăng cường là hiện tượng "Bóp méo Mục tiêu" (Reward Hacking) hoặc Khai thác quá mức (Over-exploitation).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Nếu một cụm heuristic liên tục mang lại phần thưởng HVI cao, hàm UCB sẽ có xu hướng dồn toàn bộ ngân sách còn lại vào cụm này. Điều này vô tình đi ngược lại nguyên tắc cốt lõi của tối ưu hóa đa mục tiêu: duy trì tính phân tán dọc theo đường biên Pareto.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khắc phục, hàm phần thưởng truyền vào mô hình MAB cần được cấu trúc lại để phạt những hành vi làm suy giảm độ đa dạng.</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Tín hiệu phần thưởng có thể được thiết kế dưới dạng hàm hỗn hợp: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55521"/>
            <wp:effectExtent b="0" l="0" r="0" t="0"/>
            <wp:docPr id="6"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đó </w:t>
      </w:r>
      <w:r w:rsidDel="00000000" w:rsidR="00000000" w:rsidRPr="00000000">
        <w:rPr>
          <w:rFonts w:ascii="Google Sans" w:cs="Google Sans" w:eastAsia="Google Sans" w:hAnsi="Google Sans"/>
        </w:rPr>
        <w:drawing>
          <wp:inline distB="19050" distT="19050" distL="19050" distR="19050">
            <wp:extent cx="730300" cy="227626"/>
            <wp:effectExtent b="0" l="0" r="0" t="0"/>
            <wp:docPr id="8"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730300" cy="227626"/>
                    </a:xfrm>
                    <a:prstGeom prst="rect"/>
                    <a:ln/>
                  </pic:spPr>
                </pic:pic>
              </a:graphicData>
            </a:graphic>
          </wp:inline>
        </w:drawing>
      </w:r>
      <w:r w:rsidDel="00000000" w:rsidR="00000000" w:rsidRPr="00000000">
        <w:rPr>
          <w:rFonts w:ascii="Google Sans" w:cs="Google Sans" w:eastAsia="Google Sans" w:hAnsi="Google Sans"/>
          <w:rtl w:val="0"/>
        </w:rPr>
        <w:t xml:space="preserve"> là sự thay đổi của Chỉ số Đa dạng Shannon-Wiener sau khi chèn heuristic mới vào quần thể.</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Cấu trúc phần thưởng này hoạt động như một bộ hãm tự động. Nếu một cụm sinh ra quá nhiều nghiệm nằm co cụm tại một điểm trên đường biên Pareto, </w:t>
      </w:r>
      <w:r w:rsidDel="00000000" w:rsidR="00000000" w:rsidRPr="00000000">
        <w:rPr>
          <w:rFonts w:ascii="Google Sans" w:cs="Google Sans" w:eastAsia="Google Sans" w:hAnsi="Google Sans"/>
        </w:rPr>
        <w:drawing>
          <wp:inline distB="19050" distT="19050" distL="19050" distR="19050">
            <wp:extent cx="730300" cy="227626"/>
            <wp:effectExtent b="0" l="0" r="0" t="0"/>
            <wp:docPr id="10"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730300" cy="227626"/>
                    </a:xfrm>
                    <a:prstGeom prst="rect"/>
                    <a:ln/>
                  </pic:spPr>
                </pic:pic>
              </a:graphicData>
            </a:graphic>
          </wp:inline>
        </w:drawing>
      </w:r>
      <w:r w:rsidDel="00000000" w:rsidR="00000000" w:rsidRPr="00000000">
        <w:rPr>
          <w:rFonts w:ascii="Google Sans" w:cs="Google Sans" w:eastAsia="Google Sans" w:hAnsi="Google Sans"/>
          <w:rtl w:val="0"/>
        </w:rPr>
        <w:t xml:space="preserve"> sẽ giảm âm mạnh, kéo tụt điểm số tổng quát của tay quay đó. Điều này ép thuật toán MAB phải lập tức chuyển dịch ngân sách sang các tay quay khác để khám phá các vùng không gian bị bỏ sót, từ đó duy trì quần thể giải pháp cân bằng một cách hoàn hảo trong giới hạn chi phí khắt khe.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 Kiến trúc Hỗ trợ qua Cây Khám phá (MCTS Integration)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Nếu quy mô đồ án cho phép, việc kết hợp giữa MAB và Monte Carlo Tree Search (MCTS) sẽ tạo ra một tầng tối ưu hóa thứ nguyên cao.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Trong khi D-MAB thông thường chỉ đánh giá phần thưởng ở bước ngay lập tức (myopic), MCTS sắp xếp tiến trình tiến hóa của các cụm thành một cây trạng thái. Bằng cách sử dụng UCT (Upper Confidence Bound applied to Trees) để chọn các nhánh và mô phỏng trước một số kết quả (rollout) trong giới hạn ngân sách </w:t>
      </w:r>
      <w:r w:rsidDel="00000000" w:rsidR="00000000" w:rsidRPr="00000000">
        <w:rPr>
          <w:rFonts w:ascii="Google Sans" w:cs="Google Sans" w:eastAsia="Google Sans" w:hAnsi="Google Sans"/>
        </w:rPr>
        <w:drawing>
          <wp:inline distB="19050" distT="19050" distL="19050" distR="19050">
            <wp:extent cx="149275" cy="223912"/>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rtl w:val="0"/>
        </w:rPr>
        <w:t xml:space="preserve">, hệ thống có thể "nhìn xa" xem việc kết hợp cụm </w:t>
      </w:r>
      <w:r w:rsidDel="00000000" w:rsidR="00000000" w:rsidRPr="00000000">
        <w:rPr>
          <w:rFonts w:ascii="Google Sans" w:cs="Google Sans" w:eastAsia="Google Sans" w:hAnsi="Google Sans"/>
        </w:rPr>
        <w:drawing>
          <wp:inline distB="19050" distT="19050" distL="19050" distR="19050">
            <wp:extent cx="205532" cy="224216"/>
            <wp:effectExtent b="0" l="0" r="0" t="0"/>
            <wp:docPr id="14"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205532" cy="224216"/>
                    </a:xfrm>
                    <a:prstGeom prst="rect"/>
                    <a:ln/>
                  </pic:spPr>
                </pic:pic>
              </a:graphicData>
            </a:graphic>
          </wp:inline>
        </w:drawing>
      </w:r>
      <w:r w:rsidDel="00000000" w:rsidR="00000000" w:rsidRPr="00000000">
        <w:rPr>
          <w:rFonts w:ascii="Google Sans" w:cs="Google Sans" w:eastAsia="Google Sans" w:hAnsi="Google Sans"/>
          <w:rtl w:val="0"/>
        </w:rPr>
        <w:t xml:space="preserve"> và </w:t>
      </w:r>
      <w:r w:rsidDel="00000000" w:rsidR="00000000" w:rsidRPr="00000000">
        <w:rPr>
          <w:rFonts w:ascii="Google Sans" w:cs="Google Sans" w:eastAsia="Google Sans" w:hAnsi="Google Sans"/>
        </w:rPr>
        <w:drawing>
          <wp:inline distB="19050" distT="19050" distL="19050" distR="19050">
            <wp:extent cx="205532" cy="224216"/>
            <wp:effectExtent b="0" l="0" r="0" t="0"/>
            <wp:docPr id="1"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205532" cy="224216"/>
                    </a:xfrm>
                    <a:prstGeom prst="rect"/>
                    <a:ln/>
                  </pic:spPr>
                </pic:pic>
              </a:graphicData>
            </a:graphic>
          </wp:inline>
        </w:drawing>
      </w:r>
      <w:r w:rsidDel="00000000" w:rsidR="00000000" w:rsidRPr="00000000">
        <w:rPr>
          <w:rFonts w:ascii="Google Sans" w:cs="Google Sans" w:eastAsia="Google Sans" w:hAnsi="Google Sans"/>
          <w:rtl w:val="0"/>
        </w:rPr>
        <w:t xml:space="preserve"> hiện tại có dẫn đến các đột phá ở 5 bước sau hay không.</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Cách tiếp cận này tận dụng tuyệt đối số lượt gọi LLM bằng cách từ chối các nhánh sinh mã dù có vẻ tốt ngắn hạn nhưng dẫn đến điểm chết (dead-end) logic về mặt dài hạn.</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Tổng kết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Việc xây dựng một hệ thống tối ưu hóa tổ hợp kết hợp sức mạnh sáng tạo mã nguồn của LLM và nguyên tắc duy trì tính đa dạng của MOEAs đại diện cho lằn ranh kỹ thuật tiên tiến nhất. Các phân tích phê bình và hệ thống luận điểm được thiết lập trong báo cáo này đã chứng minh rằng ý tưởng cốt lõi của đồ án không chỉ giải quyết một điểm khuyết thực tế mang tính sống còn của khung MPaGE gốc—sự lãng phí tài nguyên LLM do cơ chế lấy mẫu cào bằng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—mà còn mở ra một cấu trúc hệ thống hoàn toàn mới.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Bằng cách nhúng lý thuyết Toán tử Đa tay quay có Ràng buộc Ngân sách (Budgeted MO-MAB) vào cơ chế Lựa chọn Toán tử Thích ứng (AOS) </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hệ thống đề xuất (BMAB-LLM) đã chuyển hóa một quá trình mò mẫm vô hướng thành một bài toán định tuyến tài nguyên chiến lược. Việc định nghĩa Không gian Cánh tay (Dựa trên Phân cụm Ngữ nghĩa), Hàm Phần thưởng (Sự gia tăng Siêu khối lượng cực trị) và Luật Cập nhật Động (Dynamic UCB với Page-Hinkley test)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tạo thành một kiến trúc toán học khép kín, bền vững, và đảm bảo khai thác tối đa năng lực trí tuệ nhân tạo trong một giới hạn chi phí nghiêm ngặt. Hệ thống các bước triển khai chi tiết cùng bộ kịch bản thực nghiệm chặt chẽ sẽ đảm bảo rằng đồ án cung cấp một đóng góp học thuật và thực tiễn xuất sắc, xác lập một tiêu chuẩn mới cho các mô hình Automated Heuristic Design (AHD) trong tương lai.</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2507.20923v3.pdf</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Monte Carlo Tree Search for Comprehensive Exploration in LLM-Based Automatic Heuristic Design | OpenReview, accessed April 16, 2026, </w:t>
      </w:r>
      <w:hyperlink r:id="rId64">
        <w:r w:rsidDel="00000000" w:rsidR="00000000" w:rsidRPr="00000000">
          <w:rPr>
            <w:rFonts w:ascii="Google Sans" w:cs="Google Sans" w:eastAsia="Google Sans" w:hAnsi="Google Sans"/>
            <w:color w:val="0000ee"/>
            <w:sz w:val="24"/>
            <w:szCs w:val="24"/>
            <w:u w:val="single"/>
            <w:rtl w:val="0"/>
          </w:rPr>
          <w:t xml:space="preserve">https://openreview.net/forum?id=Do1OdZzYHr</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FeiLiu36/EoH: Evolution of Heuristics - GitHub, accessed April 16, 2026, </w:t>
      </w:r>
      <w:hyperlink r:id="rId65">
        <w:r w:rsidDel="00000000" w:rsidR="00000000" w:rsidRPr="00000000">
          <w:rPr>
            <w:rFonts w:ascii="Google Sans" w:cs="Google Sans" w:eastAsia="Google Sans" w:hAnsi="Google Sans"/>
            <w:color w:val="0000ee"/>
            <w:sz w:val="24"/>
            <w:szCs w:val="24"/>
            <w:u w:val="single"/>
            <w:rtl w:val="0"/>
          </w:rPr>
          <w:t xml:space="preserve">https://github.com/FeiLiu36/EoH</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Multi-Objective Evolution of Heuristic Using Large Language Model, accessed April 16, 2026, </w:t>
      </w:r>
      <w:hyperlink r:id="rId66">
        <w:r w:rsidDel="00000000" w:rsidR="00000000" w:rsidRPr="00000000">
          <w:rPr>
            <w:rFonts w:ascii="Google Sans" w:cs="Google Sans" w:eastAsia="Google Sans" w:hAnsi="Google Sans"/>
            <w:color w:val="0000ee"/>
            <w:sz w:val="24"/>
            <w:szCs w:val="24"/>
            <w:u w:val="single"/>
            <w:rtl w:val="0"/>
          </w:rPr>
          <w:t xml:space="preserve">https://ojs.aaai.org/index.php/AAAI/article/view/34922/37077</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Re-evaluating LLM-based Heuristic Search: A Case Study on the 3D Packing Problem, accessed April 16, 2026, </w:t>
      </w:r>
      <w:hyperlink r:id="rId67">
        <w:r w:rsidDel="00000000" w:rsidR="00000000" w:rsidRPr="00000000">
          <w:rPr>
            <w:rFonts w:ascii="Google Sans" w:cs="Google Sans" w:eastAsia="Google Sans" w:hAnsi="Google Sans"/>
            <w:color w:val="0000ee"/>
            <w:sz w:val="24"/>
            <w:szCs w:val="24"/>
            <w:u w:val="single"/>
            <w:rtl w:val="0"/>
          </w:rPr>
          <w:t xml:space="preserve">https://arxiv.org/html/2509.02297v1</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LLM Routing under Budget Constraints - arXiv, accessed April 16, 2026, </w:t>
      </w:r>
      <w:hyperlink r:id="rId68">
        <w:r w:rsidDel="00000000" w:rsidR="00000000" w:rsidRPr="00000000">
          <w:rPr>
            <w:rFonts w:ascii="Google Sans" w:cs="Google Sans" w:eastAsia="Google Sans" w:hAnsi="Google Sans"/>
            <w:color w:val="0000ee"/>
            <w:sz w:val="24"/>
            <w:szCs w:val="24"/>
            <w:u w:val="single"/>
            <w:rtl w:val="0"/>
          </w:rPr>
          <w:t xml:space="preserve">https://arxiv.org/html/2508.21141v1</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LLM-Driven Instance-Specific Heuristic Generation and Selection - arXiv, accessed April 16, 2026, </w:t>
      </w:r>
      <w:hyperlink r:id="rId69">
        <w:r w:rsidDel="00000000" w:rsidR="00000000" w:rsidRPr="00000000">
          <w:rPr>
            <w:rFonts w:ascii="Google Sans" w:cs="Google Sans" w:eastAsia="Google Sans" w:hAnsi="Google Sans"/>
            <w:color w:val="0000ee"/>
            <w:sz w:val="24"/>
            <w:szCs w:val="24"/>
            <w:u w:val="single"/>
            <w:rtl w:val="0"/>
          </w:rPr>
          <w:t xml:space="preserve">https://arxiv.org/html/2506.00490v3</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Budgeted Multi-Armed Bandits with Multiple Plays - IJCAI, accessed April 16, 2026, </w:t>
      </w:r>
      <w:hyperlink r:id="rId70">
        <w:r w:rsidDel="00000000" w:rsidR="00000000" w:rsidRPr="00000000">
          <w:rPr>
            <w:rFonts w:ascii="Google Sans" w:cs="Google Sans" w:eastAsia="Google Sans" w:hAnsi="Google Sans"/>
            <w:color w:val="0000ee"/>
            <w:sz w:val="24"/>
            <w:szCs w:val="24"/>
            <w:u w:val="single"/>
            <w:rtl w:val="0"/>
          </w:rPr>
          <w:t xml:space="preserve">https://www.ijcai.org/Proceedings/16/Papers/315.pdf</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[2202.03704] Budgeted Combinatorial Multi-Armed Bandits - arXiv, accessed April 16, 2026, </w:t>
      </w:r>
      <w:hyperlink r:id="rId71">
        <w:r w:rsidDel="00000000" w:rsidR="00000000" w:rsidRPr="00000000">
          <w:rPr>
            <w:rFonts w:ascii="Google Sans" w:cs="Google Sans" w:eastAsia="Google Sans" w:hAnsi="Google Sans"/>
            <w:color w:val="0000ee"/>
            <w:sz w:val="24"/>
            <w:szCs w:val="24"/>
            <w:u w:val="single"/>
            <w:rtl w:val="0"/>
          </w:rPr>
          <w:t xml:space="preserve">https://arxiv.org/abs/2202.03704</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Regret-analysis Framework for Budgeted Multi-Armed Bandits, accessed April 16, 2026, </w:t>
      </w:r>
      <w:hyperlink r:id="rId72">
        <w:r w:rsidDel="00000000" w:rsidR="00000000" w:rsidRPr="00000000">
          <w:rPr>
            <w:rFonts w:ascii="Google Sans" w:cs="Google Sans" w:eastAsia="Google Sans" w:hAnsi="Google Sans"/>
            <w:color w:val="0000ee"/>
            <w:sz w:val="24"/>
            <w:szCs w:val="24"/>
            <w:u w:val="single"/>
            <w:rtl w:val="0"/>
          </w:rPr>
          <w:t xml:space="preserve">https://www.jair.org/index.php/jair/article/view/16261</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Adaptive Operator Selection with Dynamic Multi-Armed Bandits - ResearchGate, accessed April 16,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https://www.researchgate.net/publication/220740267_Adaptive_Operator_Selection_with_Dynamic_Multi-Armed_Bandits</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Operator Selection with Rank-based Multi-Armed Bandits - UCL Centre for Research on Evolution, Search and Testing (CREST), accessed April 16, 2026, </w:t>
      </w:r>
      <w:hyperlink r:id="rId74">
        <w:r w:rsidDel="00000000" w:rsidR="00000000" w:rsidRPr="00000000">
          <w:rPr>
            <w:rFonts w:ascii="Google Sans" w:cs="Google Sans" w:eastAsia="Google Sans" w:hAnsi="Google Sans"/>
            <w:color w:val="0000ee"/>
            <w:sz w:val="24"/>
            <w:szCs w:val="24"/>
            <w:u w:val="single"/>
            <w:rtl w:val="0"/>
          </w:rPr>
          <w:t xml:space="preserve">http://crest.cs.ucl.ac.uk/cow/26/slides/COW26_Schoenauer.pdf</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Operator Selection for Optimization - Research, accessed April 16, 2026, </w:t>
      </w:r>
      <w:hyperlink r:id="rId75">
        <w:r w:rsidDel="00000000" w:rsidR="00000000" w:rsidRPr="00000000">
          <w:rPr>
            <w:rFonts w:ascii="Google Sans" w:cs="Google Sans" w:eastAsia="Google Sans" w:hAnsi="Google Sans"/>
            <w:color w:val="0000ee"/>
            <w:sz w:val="24"/>
            <w:szCs w:val="24"/>
            <w:u w:val="single"/>
            <w:rtl w:val="0"/>
          </w:rPr>
          <w:t xml:space="preserve">https://groups.csail.mit.edu/EVO-DesignOpt/pb/uploads/Site/FialhoThesisDraft.pdf</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Operator Selection with Dynamic Multi-Armed Bandits - UBC Computer Science, accessed April 16, 2026, </w:t>
      </w:r>
      <w:hyperlink r:id="rId76">
        <w:r w:rsidDel="00000000" w:rsidR="00000000" w:rsidRPr="00000000">
          <w:rPr>
            <w:rFonts w:ascii="Google Sans" w:cs="Google Sans" w:eastAsia="Google Sans" w:hAnsi="Google Sans"/>
            <w:color w:val="0000ee"/>
            <w:sz w:val="24"/>
            <w:szCs w:val="24"/>
            <w:u w:val="single"/>
            <w:rtl w:val="0"/>
          </w:rPr>
          <w:t xml:space="preserve">https://www.cs.ubc.ca/~hutter/EARG.shtml/earg/papers08/pap333s1-dacosta.pdf</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Multi-Armed Bandits and Extreme Value-Based Rewards for Adaptive Operator Selection in Evolutionary Algorithms - ResearchGate, accessed April 16, 2026,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https://www.researchgate.net/publication/29603095_Dynamic_Multi-Armed_Bandits_and_Extreme_Value-Based_Rewards_for_Adaptive_Operator_Selection_in_Evolutionary_Algorithms</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Adaptive operator selection in heuristic optimization utilizing generalized experience with reinforcement learning - Taylor &amp; Francis, accessed April 16, 2026, </w:t>
      </w:r>
      <w:hyperlink r:id="rId78">
        <w:r w:rsidDel="00000000" w:rsidR="00000000" w:rsidRPr="00000000">
          <w:rPr>
            <w:rFonts w:ascii="Google Sans" w:cs="Google Sans" w:eastAsia="Google Sans" w:hAnsi="Google Sans"/>
            <w:color w:val="0000ee"/>
            <w:sz w:val="24"/>
            <w:szCs w:val="24"/>
            <w:u w:val="single"/>
            <w:rtl w:val="0"/>
          </w:rPr>
          <w:t xml:space="preserve">https://www.tandfonline.com/doi/full/10.1080/17445760.2025.2605297</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Multi-armed bandit - Wikipedia, accessed April 16, 2026, </w:t>
      </w:r>
      <w:hyperlink r:id="rId79">
        <w:r w:rsidDel="00000000" w:rsidR="00000000" w:rsidRPr="00000000">
          <w:rPr>
            <w:rFonts w:ascii="Google Sans" w:cs="Google Sans" w:eastAsia="Google Sans" w:hAnsi="Google Sans"/>
            <w:color w:val="0000ee"/>
            <w:sz w:val="24"/>
            <w:szCs w:val="24"/>
            <w:u w:val="single"/>
            <w:rtl w:val="0"/>
          </w:rPr>
          <w:t xml:space="preserve">https://en.wikipedia.org/wiki/Multi-armed_bandit</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Multi-objective optimization perspectives on reinforcement learning algorithms using reward vectors, accessed April 16, 2026, </w:t>
      </w:r>
      <w:hyperlink r:id="rId80">
        <w:r w:rsidDel="00000000" w:rsidR="00000000" w:rsidRPr="00000000">
          <w:rPr>
            <w:rFonts w:ascii="Google Sans" w:cs="Google Sans" w:eastAsia="Google Sans" w:hAnsi="Google Sans"/>
            <w:color w:val="0000ee"/>
            <w:sz w:val="24"/>
            <w:szCs w:val="24"/>
            <w:u w:val="single"/>
            <w:rtl w:val="0"/>
          </w:rPr>
          <w:t xml:space="preserve">https://www.esann.org/sites/default/files/proceedings/legacy/es2015-15.pdf</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Dynamic Decomposition-Based Multi-objective Evolutionary Algorithm Using Reinforcement Learning Adaptive Operator Selection (DMOEA/D-SL) | Brambila-Hernández | Computación y Sistemas, accessed April 16, 2026, </w:t>
      </w:r>
      <w:hyperlink r:id="rId81">
        <w:r w:rsidDel="00000000" w:rsidR="00000000" w:rsidRPr="00000000">
          <w:rPr>
            <w:rFonts w:ascii="Google Sans" w:cs="Google Sans" w:eastAsia="Google Sans" w:hAnsi="Google Sans"/>
            <w:color w:val="0000ee"/>
            <w:sz w:val="24"/>
            <w:szCs w:val="24"/>
            <w:u w:val="single"/>
            <w:rtl w:val="0"/>
          </w:rPr>
          <w:t xml:space="preserve">https://www.cys.cic.ipn.mx/index.php/CyS/article/view/5018</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Hypervolume-based Multi-Objective Reinforcement Learning - Artificial Intelligence Lab Brussels - VUB, accessed April 16, 2026, </w:t>
      </w:r>
      <w:hyperlink r:id="rId82">
        <w:r w:rsidDel="00000000" w:rsidR="00000000" w:rsidRPr="00000000">
          <w:rPr>
            <w:rFonts w:ascii="Google Sans" w:cs="Google Sans" w:eastAsia="Google Sans" w:hAnsi="Google Sans"/>
            <w:color w:val="0000ee"/>
            <w:sz w:val="24"/>
            <w:szCs w:val="24"/>
            <w:u w:val="single"/>
            <w:rtl w:val="0"/>
          </w:rPr>
          <w:t xml:space="preserve">https://ai.vub.ac.be/sites/default/files/EMO_2013_1.pdf</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multi-objective multi-armed bandits algorithms: a study - Artificial Intelligence Lab Brussels - VUB, accessed April 16, 2026, </w:t>
      </w:r>
      <w:hyperlink r:id="rId83">
        <w:r w:rsidDel="00000000" w:rsidR="00000000" w:rsidRPr="00000000">
          <w:rPr>
            <w:rFonts w:ascii="Google Sans" w:cs="Google Sans" w:eastAsia="Google Sans" w:hAnsi="Google Sans"/>
            <w:color w:val="0000ee"/>
            <w:sz w:val="24"/>
            <w:szCs w:val="24"/>
            <w:u w:val="single"/>
            <w:rtl w:val="0"/>
          </w:rPr>
          <w:t xml:space="preserve">https://ai.vub.ac.be/sites/default/files/MO_MAB_IJCNN_Accepted_v2.pdf</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multi-objective multi-armed bandits algorithms: a study - TU Delft Repository, accessed April 16, 2026, </w:t>
      </w:r>
      <w:hyperlink r:id="rId84">
        <w:r w:rsidDel="00000000" w:rsidR="00000000" w:rsidRPr="00000000">
          <w:rPr>
            <w:rFonts w:ascii="Google Sans" w:cs="Google Sans" w:eastAsia="Google Sans" w:hAnsi="Google Sans"/>
            <w:color w:val="0000ee"/>
            <w:sz w:val="24"/>
            <w:szCs w:val="24"/>
            <w:u w:val="single"/>
            <w:rtl w:val="0"/>
          </w:rPr>
          <w:t xml:space="preserve">https://repository.tudelft.nl/file/File_65e5e183-6eef-4279-a9cf-a06c066dc40b</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Multi-Objective Reinforcement Learning using Sets of Pareto Dominating Policies, accessed April 16, 2026, </w:t>
      </w:r>
      <w:hyperlink r:id="rId85">
        <w:r w:rsidDel="00000000" w:rsidR="00000000" w:rsidRPr="00000000">
          <w:rPr>
            <w:rFonts w:ascii="Google Sans" w:cs="Google Sans" w:eastAsia="Google Sans" w:hAnsi="Google Sans"/>
            <w:color w:val="0000ee"/>
            <w:sz w:val="24"/>
            <w:szCs w:val="24"/>
            <w:u w:val="single"/>
            <w:rtl w:val="0"/>
          </w:rPr>
          <w:t xml:space="preserve">https://jmlr.org/papers/volume15/vanmoffaert14a/vanmoffaert14a.pdf</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Execution via Multi-Objective Multi-Armed Bandits (Student Abstract), accessed April 16, 2026, </w:t>
      </w:r>
      <w:hyperlink r:id="rId86">
        <w:r w:rsidDel="00000000" w:rsidR="00000000" w:rsidRPr="00000000">
          <w:rPr>
            <w:rFonts w:ascii="Google Sans" w:cs="Google Sans" w:eastAsia="Google Sans" w:hAnsi="Google Sans"/>
            <w:color w:val="0000ee"/>
            <w:sz w:val="24"/>
            <w:szCs w:val="24"/>
            <w:u w:val="single"/>
            <w:rtl w:val="0"/>
          </w:rPr>
          <w:t xml:space="preserve">https://ojs.aaai.org/index.php/AAAI/article/view/26945/26717</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Multi-armed bandits – Mastering Reinforcement Learning, accessed April 16, 2026, </w:t>
      </w:r>
      <w:hyperlink r:id="rId87">
        <w:r w:rsidDel="00000000" w:rsidR="00000000" w:rsidRPr="00000000">
          <w:rPr>
            <w:rFonts w:ascii="Google Sans" w:cs="Google Sans" w:eastAsia="Google Sans" w:hAnsi="Google Sans"/>
            <w:color w:val="0000ee"/>
            <w:sz w:val="24"/>
            <w:szCs w:val="24"/>
            <w:u w:val="single"/>
            <w:rtl w:val="0"/>
          </w:rPr>
          <w:t xml:space="preserve">https://uq.pressbooks.pub/mastering-reinforcement-learning/chapter/multi-armed-bandits-mastering-reinforcement-learning/</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Multi-Objective Hyperparameter Optimization with Multi-Armed Bandits - Hajim School of Engineering &amp; Applied Sciences, accessed April 16, 2026, </w:t>
      </w:r>
      <w:hyperlink r:id="rId88">
        <w:r w:rsidDel="00000000" w:rsidR="00000000" w:rsidRPr="00000000">
          <w:rPr>
            <w:rFonts w:ascii="Google Sans" w:cs="Google Sans" w:eastAsia="Google Sans" w:hAnsi="Google Sans"/>
            <w:color w:val="0000ee"/>
            <w:sz w:val="24"/>
            <w:szCs w:val="24"/>
            <w:u w:val="single"/>
            <w:rtl w:val="0"/>
          </w:rPr>
          <w:t xml:space="preserve">https://www.hajim.rochester.edu/senior-design-day/wp-content/uploads/2024/04/Fangyu-Luo-POSTER.pdf</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Budget-Constrained Agentic Large Language Models: Intention-Based Planning for Costly Tool Use - Hugging Face, accessed April 16, 2026, </w:t>
      </w:r>
      <w:hyperlink r:id="rId89">
        <w:r w:rsidDel="00000000" w:rsidR="00000000" w:rsidRPr="00000000">
          <w:rPr>
            <w:rFonts w:ascii="Google Sans" w:cs="Google Sans" w:eastAsia="Google Sans" w:hAnsi="Google Sans"/>
            <w:color w:val="0000ee"/>
            <w:sz w:val="24"/>
            <w:szCs w:val="24"/>
            <w:u w:val="single"/>
            <w:rtl w:val="0"/>
          </w:rPr>
          <w:t xml:space="preserve">https://huggingface.co/papers/2602.11541</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LLM Routing with Budget Constraints | PDF | Applied Mathematics - Scribd, accessed April 16, 2026, </w:t>
      </w:r>
      <w:hyperlink r:id="rId90">
        <w:r w:rsidDel="00000000" w:rsidR="00000000" w:rsidRPr="00000000">
          <w:rPr>
            <w:rFonts w:ascii="Google Sans" w:cs="Google Sans" w:eastAsia="Google Sans" w:hAnsi="Google Sans"/>
            <w:color w:val="0000ee"/>
            <w:sz w:val="24"/>
            <w:szCs w:val="24"/>
            <w:u w:val="single"/>
            <w:rtl w:val="0"/>
          </w:rPr>
          <w:t xml:space="preserve">https://www.scribd.com/document/972630323/LLM-Budget</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multi-objective multi-armed bandits algorithms: A study - ResearchGate, accessed April 16, 2026, </w:t>
      </w:r>
      <w:hyperlink r:id="rId91">
        <w:r w:rsidDel="00000000" w:rsidR="00000000" w:rsidRPr="00000000">
          <w:rPr>
            <w:rFonts w:ascii="Google Sans" w:cs="Google Sans" w:eastAsia="Google Sans" w:hAnsi="Google Sans"/>
            <w:color w:val="0000ee"/>
            <w:sz w:val="24"/>
            <w:szCs w:val="24"/>
            <w:u w:val="single"/>
            <w:rtl w:val="0"/>
          </w:rPr>
          <w:t xml:space="preserve">https://www.researchgate.net/publication/236480059_Designing_multi-objective_multi-armed_bandits_algorithms_A_study</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LLM-Driven Heuristic Synthesis for Industrial Process Control: Lessons from Hot Steel Rolling - arXiv, accessed April 16, 2026, </w:t>
      </w:r>
      <w:hyperlink r:id="rId92">
        <w:r w:rsidDel="00000000" w:rsidR="00000000" w:rsidRPr="00000000">
          <w:rPr>
            <w:rFonts w:ascii="Google Sans" w:cs="Google Sans" w:eastAsia="Google Sans" w:hAnsi="Google Sans"/>
            <w:color w:val="0000ee"/>
            <w:sz w:val="24"/>
            <w:szCs w:val="24"/>
            <w:u w:val="single"/>
            <w:rtl w:val="0"/>
          </w:rPr>
          <w:t xml:space="preserve">https://arxiv.org/html/2603.20537v1</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Stochastic Multi-Objective Multi-Armed Bandits: Regret Definition and Algorithm - arXiv, accessed April 16, 2026, </w:t>
      </w:r>
      <w:hyperlink r:id="rId93">
        <w:r w:rsidDel="00000000" w:rsidR="00000000" w:rsidRPr="00000000">
          <w:rPr>
            <w:rFonts w:ascii="Google Sans" w:cs="Google Sans" w:eastAsia="Google Sans" w:hAnsi="Google Sans"/>
            <w:color w:val="0000ee"/>
            <w:sz w:val="24"/>
            <w:szCs w:val="24"/>
            <w:u w:val="single"/>
            <w:rtl w:val="0"/>
          </w:rPr>
          <w:t xml:space="preserve">https://arxiv.org/html/2506.13125v1</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BEAM: Bi-level Memory-adaptive Algorithmic Evolution for LLM-Powered Heuristic Design, accessed April 16, 2026, </w:t>
      </w:r>
      <w:hyperlink r:id="rId94">
        <w:r w:rsidDel="00000000" w:rsidR="00000000" w:rsidRPr="00000000">
          <w:rPr>
            <w:rFonts w:ascii="Google Sans" w:cs="Google Sans" w:eastAsia="Google Sans" w:hAnsi="Google Sans"/>
            <w:color w:val="0000ee"/>
            <w:sz w:val="24"/>
            <w:szCs w:val="24"/>
            <w:u w:val="single"/>
            <w:rtl w:val="0"/>
          </w:rPr>
          <w:t xml:space="preserve">https://arxiv.org/html/2604.12898v1</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EoH-S: Evolution of Heuristic Set Using LLMs for Automated Heuristic Design, accessed April 16, 2026, </w:t>
      </w:r>
      <w:hyperlink r:id="rId95">
        <w:r w:rsidDel="00000000" w:rsidR="00000000" w:rsidRPr="00000000">
          <w:rPr>
            <w:rFonts w:ascii="Google Sans" w:cs="Google Sans" w:eastAsia="Google Sans" w:hAnsi="Google Sans"/>
            <w:color w:val="0000ee"/>
            <w:sz w:val="24"/>
            <w:szCs w:val="24"/>
            <w:u w:val="single"/>
            <w:rtl w:val="0"/>
          </w:rPr>
          <w:t xml:space="preserve">https://ojs.aaai.org/index.php/AAAI/article/view/41038/44999</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PyVRP + : LLM-Driven Metacognitive Heuristic Evolution for Hybrid Genetic Search in Vehicle Routing Problems - arXiv, accessed April 16, 2026, </w:t>
      </w:r>
      <w:hyperlink r:id="rId96">
        <w:r w:rsidDel="00000000" w:rsidR="00000000" w:rsidRPr="00000000">
          <w:rPr>
            <w:rFonts w:ascii="Google Sans" w:cs="Google Sans" w:eastAsia="Google Sans" w:hAnsi="Google Sans"/>
            <w:color w:val="0000ee"/>
            <w:sz w:val="24"/>
            <w:szCs w:val="24"/>
            <w:u w:val="single"/>
            <w:rtl w:val="0"/>
          </w:rPr>
          <w:t xml:space="preserve">https://arxiv.org/html/2604.07872v1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84" Type="http://schemas.openxmlformats.org/officeDocument/2006/relationships/hyperlink" Target="https://repository.tudelft.nl/file/File_65e5e183-6eef-4279-a9cf-a06c066dc40b" TargetMode="External"/><Relationship Id="rId83" Type="http://schemas.openxmlformats.org/officeDocument/2006/relationships/hyperlink" Target="https://ai.vub.ac.be/sites/default/files/MO_MAB_IJCNN_Accepted_v2.pdf" TargetMode="External"/><Relationship Id="rId42" Type="http://schemas.openxmlformats.org/officeDocument/2006/relationships/image" Target="media/image46.png"/><Relationship Id="rId86" Type="http://schemas.openxmlformats.org/officeDocument/2006/relationships/hyperlink" Target="https://ojs.aaai.org/index.php/AAAI/article/view/26945/26717" TargetMode="External"/><Relationship Id="rId41" Type="http://schemas.openxmlformats.org/officeDocument/2006/relationships/image" Target="media/image14.png"/><Relationship Id="rId85" Type="http://schemas.openxmlformats.org/officeDocument/2006/relationships/hyperlink" Target="https://jmlr.org/papers/volume15/vanmoffaert14a/vanmoffaert14a.pdf" TargetMode="External"/><Relationship Id="rId44" Type="http://schemas.openxmlformats.org/officeDocument/2006/relationships/image" Target="media/image44.png"/><Relationship Id="rId88" Type="http://schemas.openxmlformats.org/officeDocument/2006/relationships/hyperlink" Target="https://www.hajim.rochester.edu/senior-design-day/wp-content/uploads/2024/04/Fangyu-Luo-POSTER.pdf" TargetMode="External"/><Relationship Id="rId43" Type="http://schemas.openxmlformats.org/officeDocument/2006/relationships/image" Target="media/image53.png"/><Relationship Id="rId87" Type="http://schemas.openxmlformats.org/officeDocument/2006/relationships/hyperlink" Target="https://uq.pressbooks.pub/mastering-reinforcement-learning/chapter/multi-armed-bandits-mastering-reinforcement-learning/" TargetMode="External"/><Relationship Id="rId46" Type="http://schemas.openxmlformats.org/officeDocument/2006/relationships/image" Target="media/image57.png"/><Relationship Id="rId45" Type="http://schemas.openxmlformats.org/officeDocument/2006/relationships/image" Target="media/image49.png"/><Relationship Id="rId89" Type="http://schemas.openxmlformats.org/officeDocument/2006/relationships/hyperlink" Target="https://huggingface.co/papers/2602.11541" TargetMode="External"/><Relationship Id="rId80" Type="http://schemas.openxmlformats.org/officeDocument/2006/relationships/hyperlink" Target="https://www.esann.org/sites/default/files/proceedings/legacy/es2015-15.pdf" TargetMode="External"/><Relationship Id="rId82" Type="http://schemas.openxmlformats.org/officeDocument/2006/relationships/hyperlink" Target="https://ai.vub.ac.be/sites/default/files/EMO_2013_1.pdf" TargetMode="External"/><Relationship Id="rId81" Type="http://schemas.openxmlformats.org/officeDocument/2006/relationships/hyperlink" Target="https://www.cys.cic.ipn.mx/index.php/CyS/article/view/50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48" Type="http://schemas.openxmlformats.org/officeDocument/2006/relationships/image" Target="media/image55.png"/><Relationship Id="rId47" Type="http://schemas.openxmlformats.org/officeDocument/2006/relationships/image" Target="media/image41.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50.png"/><Relationship Id="rId7" Type="http://schemas.openxmlformats.org/officeDocument/2006/relationships/image" Target="media/image16.png"/><Relationship Id="rId8" Type="http://schemas.openxmlformats.org/officeDocument/2006/relationships/image" Target="media/image45.png"/><Relationship Id="rId73" Type="http://schemas.openxmlformats.org/officeDocument/2006/relationships/hyperlink" Target="https://www.researchgate.net/publication/220740267_Adaptive_Operator_Selection_with_Dynamic_Multi-Armed_Bandits" TargetMode="External"/><Relationship Id="rId72" Type="http://schemas.openxmlformats.org/officeDocument/2006/relationships/hyperlink" Target="https://www.jair.org/index.php/jair/article/view/16261" TargetMode="External"/><Relationship Id="rId31" Type="http://schemas.openxmlformats.org/officeDocument/2006/relationships/image" Target="media/image22.png"/><Relationship Id="rId75" Type="http://schemas.openxmlformats.org/officeDocument/2006/relationships/hyperlink" Target="https://groups.csail.mit.edu/EVO-DesignOpt/pb/uploads/Site/FialhoThesisDraft.pdf" TargetMode="External"/><Relationship Id="rId30" Type="http://schemas.openxmlformats.org/officeDocument/2006/relationships/image" Target="media/image29.png"/><Relationship Id="rId74" Type="http://schemas.openxmlformats.org/officeDocument/2006/relationships/hyperlink" Target="http://crest.cs.ucl.ac.uk/cow/26/slides/COW26_Schoenauer.pdf" TargetMode="External"/><Relationship Id="rId33" Type="http://schemas.openxmlformats.org/officeDocument/2006/relationships/image" Target="media/image27.png"/><Relationship Id="rId77" Type="http://schemas.openxmlformats.org/officeDocument/2006/relationships/hyperlink" Target="https://www.researchgate.net/publication/29603095_Dynamic_Multi-Armed_Bandits_and_Extreme_Value-Based_Rewards_for_Adaptive_Operator_Selection_in_Evolutionary_Algorithms" TargetMode="External"/><Relationship Id="rId32" Type="http://schemas.openxmlformats.org/officeDocument/2006/relationships/image" Target="media/image24.png"/><Relationship Id="rId76" Type="http://schemas.openxmlformats.org/officeDocument/2006/relationships/hyperlink" Target="https://www.cs.ubc.ca/~hutter/EARG.shtml/earg/papers08/pap333s1-dacosta.pdf" TargetMode="External"/><Relationship Id="rId35" Type="http://schemas.openxmlformats.org/officeDocument/2006/relationships/image" Target="media/image15.png"/><Relationship Id="rId79" Type="http://schemas.openxmlformats.org/officeDocument/2006/relationships/hyperlink" Target="https://en.wikipedia.org/wiki/Multi-armed_bandit" TargetMode="External"/><Relationship Id="rId34" Type="http://schemas.openxmlformats.org/officeDocument/2006/relationships/image" Target="media/image25.png"/><Relationship Id="rId78" Type="http://schemas.openxmlformats.org/officeDocument/2006/relationships/hyperlink" Target="https://www.tandfonline.com/doi/full/10.1080/17445760.2025.2605297" TargetMode="External"/><Relationship Id="rId71" Type="http://schemas.openxmlformats.org/officeDocument/2006/relationships/hyperlink" Target="https://arxiv.org/abs/2202.03704" TargetMode="External"/><Relationship Id="rId70" Type="http://schemas.openxmlformats.org/officeDocument/2006/relationships/hyperlink" Target="https://www.ijcai.org/Proceedings/16/Papers/315.pdf" TargetMode="External"/><Relationship Id="rId37" Type="http://schemas.openxmlformats.org/officeDocument/2006/relationships/image" Target="media/image11.png"/><Relationship Id="rId36" Type="http://schemas.openxmlformats.org/officeDocument/2006/relationships/image" Target="media/image9.png"/><Relationship Id="rId39" Type="http://schemas.openxmlformats.org/officeDocument/2006/relationships/image" Target="media/image6.png"/><Relationship Id="rId38" Type="http://schemas.openxmlformats.org/officeDocument/2006/relationships/image" Target="media/image10.png"/><Relationship Id="rId62" Type="http://schemas.openxmlformats.org/officeDocument/2006/relationships/image" Target="media/image13.png"/><Relationship Id="rId61" Type="http://schemas.openxmlformats.org/officeDocument/2006/relationships/image" Target="media/image4.png"/><Relationship Id="rId20" Type="http://schemas.openxmlformats.org/officeDocument/2006/relationships/image" Target="media/image51.png"/><Relationship Id="rId64" Type="http://schemas.openxmlformats.org/officeDocument/2006/relationships/hyperlink" Target="https://openreview.net/forum?id=Do1OdZzYHr" TargetMode="External"/><Relationship Id="rId63" Type="http://schemas.openxmlformats.org/officeDocument/2006/relationships/image" Target="media/image2.png"/><Relationship Id="rId22" Type="http://schemas.openxmlformats.org/officeDocument/2006/relationships/image" Target="media/image31.png"/><Relationship Id="rId66" Type="http://schemas.openxmlformats.org/officeDocument/2006/relationships/hyperlink" Target="https://ojs.aaai.org/index.php/AAAI/article/view/34922/37077" TargetMode="External"/><Relationship Id="rId21" Type="http://schemas.openxmlformats.org/officeDocument/2006/relationships/image" Target="media/image56.png"/><Relationship Id="rId65" Type="http://schemas.openxmlformats.org/officeDocument/2006/relationships/hyperlink" Target="https://github.com/FeiLiu36/EoH" TargetMode="External"/><Relationship Id="rId24" Type="http://schemas.openxmlformats.org/officeDocument/2006/relationships/image" Target="media/image48.png"/><Relationship Id="rId68" Type="http://schemas.openxmlformats.org/officeDocument/2006/relationships/hyperlink" Target="https://arxiv.org/html/2508.21141v1" TargetMode="External"/><Relationship Id="rId23" Type="http://schemas.openxmlformats.org/officeDocument/2006/relationships/image" Target="media/image35.png"/><Relationship Id="rId67" Type="http://schemas.openxmlformats.org/officeDocument/2006/relationships/hyperlink" Target="https://arxiv.org/html/2509.02297v1" TargetMode="External"/><Relationship Id="rId60" Type="http://schemas.openxmlformats.org/officeDocument/2006/relationships/image" Target="media/image8.png"/><Relationship Id="rId26" Type="http://schemas.openxmlformats.org/officeDocument/2006/relationships/image" Target="media/image47.png"/><Relationship Id="rId25" Type="http://schemas.openxmlformats.org/officeDocument/2006/relationships/image" Target="media/image38.png"/><Relationship Id="rId69" Type="http://schemas.openxmlformats.org/officeDocument/2006/relationships/hyperlink" Target="https://arxiv.org/html/2506.00490v3" TargetMode="External"/><Relationship Id="rId28" Type="http://schemas.openxmlformats.org/officeDocument/2006/relationships/image" Target="media/image26.png"/><Relationship Id="rId27" Type="http://schemas.openxmlformats.org/officeDocument/2006/relationships/image" Target="media/image34.png"/><Relationship Id="rId29" Type="http://schemas.openxmlformats.org/officeDocument/2006/relationships/image" Target="media/image28.png"/><Relationship Id="rId51" Type="http://schemas.openxmlformats.org/officeDocument/2006/relationships/image" Target="media/image33.png"/><Relationship Id="rId95" Type="http://schemas.openxmlformats.org/officeDocument/2006/relationships/hyperlink" Target="https://ojs.aaai.org/index.php/AAAI/article/view/41038/44999" TargetMode="External"/><Relationship Id="rId50" Type="http://schemas.openxmlformats.org/officeDocument/2006/relationships/image" Target="media/image36.png"/><Relationship Id="rId94" Type="http://schemas.openxmlformats.org/officeDocument/2006/relationships/hyperlink" Target="https://arxiv.org/html/2604.12898v1" TargetMode="External"/><Relationship Id="rId53" Type="http://schemas.openxmlformats.org/officeDocument/2006/relationships/image" Target="media/image18.png"/><Relationship Id="rId52" Type="http://schemas.openxmlformats.org/officeDocument/2006/relationships/image" Target="media/image39.png"/><Relationship Id="rId96" Type="http://schemas.openxmlformats.org/officeDocument/2006/relationships/hyperlink" Target="https://arxiv.org/html/2604.07872v1" TargetMode="External"/><Relationship Id="rId11" Type="http://schemas.openxmlformats.org/officeDocument/2006/relationships/image" Target="media/image40.png"/><Relationship Id="rId55" Type="http://schemas.openxmlformats.org/officeDocument/2006/relationships/image" Target="media/image23.png"/><Relationship Id="rId10" Type="http://schemas.openxmlformats.org/officeDocument/2006/relationships/image" Target="media/image37.png"/><Relationship Id="rId54" Type="http://schemas.openxmlformats.org/officeDocument/2006/relationships/image" Target="media/image20.png"/><Relationship Id="rId13" Type="http://schemas.openxmlformats.org/officeDocument/2006/relationships/image" Target="media/image3.png"/><Relationship Id="rId57" Type="http://schemas.openxmlformats.org/officeDocument/2006/relationships/image" Target="media/image21.png"/><Relationship Id="rId12" Type="http://schemas.openxmlformats.org/officeDocument/2006/relationships/image" Target="media/image42.png"/><Relationship Id="rId56" Type="http://schemas.openxmlformats.org/officeDocument/2006/relationships/image" Target="media/image19.png"/><Relationship Id="rId91" Type="http://schemas.openxmlformats.org/officeDocument/2006/relationships/hyperlink" Target="https://www.researchgate.net/publication/236480059_Designing_multi-objective_multi-armed_bandits_algorithms_A_study" TargetMode="External"/><Relationship Id="rId90" Type="http://schemas.openxmlformats.org/officeDocument/2006/relationships/hyperlink" Target="https://www.scribd.com/document/972630323/LLM-Budget" TargetMode="External"/><Relationship Id="rId93" Type="http://schemas.openxmlformats.org/officeDocument/2006/relationships/hyperlink" Target="https://arxiv.org/html/2506.13125v1" TargetMode="External"/><Relationship Id="rId92" Type="http://schemas.openxmlformats.org/officeDocument/2006/relationships/hyperlink" Target="https://arxiv.org/html/2603.20537v1" TargetMode="External"/><Relationship Id="rId15" Type="http://schemas.openxmlformats.org/officeDocument/2006/relationships/image" Target="media/image30.png"/><Relationship Id="rId59" Type="http://schemas.openxmlformats.org/officeDocument/2006/relationships/image" Target="media/image5.png"/><Relationship Id="rId14" Type="http://schemas.openxmlformats.org/officeDocument/2006/relationships/image" Target="media/image7.png"/><Relationship Id="rId58" Type="http://schemas.openxmlformats.org/officeDocument/2006/relationships/image" Target="media/image12.png"/><Relationship Id="rId17" Type="http://schemas.openxmlformats.org/officeDocument/2006/relationships/image" Target="media/image17.png"/><Relationship Id="rId16" Type="http://schemas.openxmlformats.org/officeDocument/2006/relationships/image" Target="media/image43.png"/><Relationship Id="rId19" Type="http://schemas.openxmlformats.org/officeDocument/2006/relationships/image" Target="media/image54.png"/><Relationship Id="rId1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