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收款单位管理台操作指引</w:t>
      </w: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一、业务说明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南京市公共支付平台是由南京市大数据局立项建设，与统一认证平台、可信账户平台紧密对接，完成对市民、企业的唯一、实名制认证，解决收费缴款时的核认、信息匹配、支付清分等难题，应用方向包括交通出行、房产交易、工程建设缴费、校园缴费等，逐步推广到非税收入征收和公共事业性收费，服务市民和企业的办事需要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总体建设思路是从“树状模型”升级到“总线模型”：利用银行账务系统构建资金流转通道，链接政府、企业与市民，满足资金双向流转（发放与支付），聚合银行支付和第三方支付等主流支付方式，实现资金流与信息流完全匹配，提升便民服务和体验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针对南京市房产交易与不动产登记业务的综合收费，企业/个人通过窗口POS/现金或“我的南京”手机APP在线缴费，资金流从企业/个人付通过南京市公共支付平台付款至各收款单位的虚拟子账户，进行独立核算，例如税款进入税款的专用子账户里。每个虚拟子账户可以绑定一个实体收款户，可从子账户提款至实体收款户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登陆地址：</w:t>
      </w:r>
      <w:r>
        <w:fldChar w:fldCharType="begin"/>
      </w:r>
      <w:r>
        <w:instrText xml:space="preserve"> HYPERLINK "http://172.16.252.51:18082/propertySystem/index.html" </w:instrText>
      </w:r>
      <w:r>
        <w:fldChar w:fldCharType="separate"/>
      </w:r>
      <w:r>
        <w:rPr>
          <w:rStyle w:val="10"/>
          <w:rFonts w:hint="eastAsia"/>
          <w:sz w:val="28"/>
          <w:szCs w:val="28"/>
        </w:rPr>
        <w:t>http://172.16.252.5</w:t>
      </w:r>
      <w:r>
        <w:rPr>
          <w:rStyle w:val="10"/>
          <w:rFonts w:hint="eastAsia"/>
          <w:sz w:val="28"/>
          <w:szCs w:val="28"/>
          <w:lang w:val="en-US" w:eastAsia="zh-CN"/>
        </w:rPr>
        <w:t>2</w:t>
      </w:r>
      <w:r>
        <w:rPr>
          <w:rStyle w:val="10"/>
          <w:rFonts w:hint="eastAsia"/>
          <w:sz w:val="28"/>
          <w:szCs w:val="28"/>
        </w:rPr>
        <w:t>:18082/propertySystem/index.html</w:t>
      </w:r>
      <w:r>
        <w:rPr>
          <w:rStyle w:val="10"/>
          <w:rFonts w:hint="eastAsia"/>
          <w:sz w:val="28"/>
          <w:szCs w:val="28"/>
        </w:rPr>
        <w:fldChar w:fldCharType="end"/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浏览器：Chrome（可在登陆页点击下载安装）</w:t>
      </w: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二、管理功能</w:t>
      </w:r>
    </w:p>
    <w:p>
      <w:pPr>
        <w:ind w:firstLine="562" w:firstLineChars="2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（一）首页</w:t>
      </w:r>
      <w:bookmarkStart w:id="0" w:name="_Toc12363"/>
      <w:bookmarkStart w:id="1" w:name="_Toc18250"/>
      <w:r>
        <w:rPr>
          <w:rFonts w:hint="eastAsia"/>
          <w:b/>
          <w:bCs/>
          <w:sz w:val="28"/>
          <w:szCs w:val="28"/>
        </w:rPr>
        <w:t>查询、提现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1、收款单位管理员登录南京市公共支付平台管理台，可在首页查看单位的名称、联系手机号、费用科目清单。</w:t>
      </w:r>
    </w:p>
    <w:p>
      <w:pPr>
        <w:rPr>
          <w:rFonts w:ascii="宋体" w:hAnsi="宋体"/>
          <w:sz w:val="28"/>
          <w:szCs w:val="28"/>
        </w:rPr>
      </w:pPr>
      <w:bookmarkStart w:id="2" w:name="_Toc6788"/>
      <w:r>
        <w:rPr>
          <w:rFonts w:ascii="宋体" w:hAnsi="宋体"/>
          <w:sz w:val="28"/>
          <w:szCs w:val="28"/>
        </w:rPr>
        <w:drawing>
          <wp:inline distT="0" distB="0" distL="0" distR="0">
            <wp:extent cx="5332095" cy="1449070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6004" cy="144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End w:id="2"/>
    </w:p>
    <w:p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2、点击首页的“查看详情”，可以查看每笔费用科目对应的“今日收款”、“昨日收款”的笔数、金额、退款和案件等信息。</w:t>
      </w:r>
    </w:p>
    <w:p>
      <w:pPr>
        <w:rPr>
          <w:rFonts w:ascii="宋体" w:hAnsi="宋体"/>
          <w:sz w:val="28"/>
          <w:szCs w:val="28"/>
        </w:rPr>
      </w:pPr>
      <w:bookmarkStart w:id="3" w:name="_Toc7540"/>
      <w:r>
        <w:rPr>
          <w:rFonts w:ascii="宋体" w:hAnsi="宋体"/>
          <w:sz w:val="28"/>
          <w:szCs w:val="28"/>
        </w:rPr>
        <w:drawing>
          <wp:inline distT="0" distB="0" distL="0" distR="0">
            <wp:extent cx="5325110" cy="26822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22"/>
                    <a:stretch>
                      <a:fillRect/>
                    </a:stretch>
                  </pic:blipFill>
                  <pic:spPr>
                    <a:xfrm>
                      <a:off x="0" y="0"/>
                      <a:ext cx="5328051" cy="268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3、点击详情页的“提现”按钮，可以将每种费用子账户里的资金，提现到绑定的实体对公账户里；或点击首页-批量提现。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drawing>
          <wp:inline distT="0" distB="0" distL="0" distR="0">
            <wp:extent cx="5374005" cy="241808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8926" cy="241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End w:id="3"/>
    </w:p>
    <w:p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其中，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每日收款资金为自动提现</w:t>
      </w:r>
      <w:r>
        <w:rPr>
          <w:rFonts w:hint="eastAsia"/>
          <w:sz w:val="28"/>
          <w:szCs w:val="28"/>
          <w:lang w:val="en-US" w:eastAsia="zh-CN"/>
        </w:rPr>
        <w:t>，无须手工操作。因业务异常、节假日、年终等特殊情况，可由人工核实后进行补操作。</w:t>
      </w:r>
    </w:p>
    <w:p>
      <w:pPr>
        <w:ind w:firstLine="562" w:firstLineChars="200"/>
        <w:rPr>
          <w:b/>
          <w:bCs/>
          <w:sz w:val="28"/>
          <w:szCs w:val="28"/>
        </w:rPr>
      </w:pPr>
      <w:bookmarkStart w:id="4" w:name="_Toc7179"/>
      <w:r>
        <w:rPr>
          <w:rFonts w:hint="eastAsia"/>
          <w:b/>
          <w:bCs/>
          <w:sz w:val="28"/>
          <w:szCs w:val="28"/>
        </w:rPr>
        <w:t>（二）收款明细</w:t>
      </w:r>
    </w:p>
    <w:p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收款单位管理员</w:t>
      </w:r>
      <w:bookmarkEnd w:id="4"/>
      <w:r>
        <w:rPr>
          <w:rFonts w:hint="eastAsia"/>
          <w:sz w:val="28"/>
          <w:szCs w:val="28"/>
        </w:rPr>
        <w:t>可随时查看“收款明细”，也可根据案件编号、支付类型、转让方受让方、订单状态、日期等筛选和导出明细。</w:t>
      </w:r>
    </w:p>
    <w:p>
      <w:pPr>
        <w:rPr>
          <w:rFonts w:ascii="宋体" w:hAnsi="宋体"/>
          <w:sz w:val="28"/>
          <w:szCs w:val="28"/>
        </w:rPr>
      </w:pPr>
      <w:bookmarkStart w:id="5" w:name="_Toc32019"/>
      <w:r>
        <w:rPr>
          <w:rFonts w:ascii="宋体" w:hAnsi="宋体"/>
          <w:sz w:val="28"/>
          <w:szCs w:val="28"/>
        </w:rPr>
        <w:drawing>
          <wp:inline distT="0" distB="0" distL="0" distR="0">
            <wp:extent cx="5267325" cy="2524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>
      <w:pPr>
        <w:ind w:firstLine="562" w:firstLineChars="2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（三）退款管理</w:t>
      </w:r>
    </w:p>
    <w:p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收款单位可随时点“退款管理”查看退款明细，也可根据案件编号、支付类型、订单状态、日期等筛选和导出明细。</w:t>
      </w:r>
    </w:p>
    <w:p>
      <w:pPr>
        <w:rPr>
          <w:rFonts w:ascii="宋体" w:hAnsi="宋体"/>
          <w:sz w:val="28"/>
          <w:szCs w:val="28"/>
        </w:rPr>
      </w:pPr>
      <w:bookmarkStart w:id="6" w:name="_Toc26061"/>
      <w:r>
        <w:rPr>
          <w:rFonts w:ascii="宋体" w:hAnsi="宋体"/>
          <w:sz w:val="28"/>
          <w:szCs w:val="28"/>
        </w:rPr>
        <w:drawing>
          <wp:inline distT="0" distB="0" distL="0" distR="0">
            <wp:extent cx="5276850" cy="2390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>
      <w:pPr>
        <w:ind w:firstLine="562" w:firstLineChars="2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（四）清分明细</w:t>
      </w:r>
    </w:p>
    <w:p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收款单位可随时查看“清分明细”，也可根据案件编号、日期等筛选和导出明细，用于对账、查看。</w:t>
      </w:r>
    </w:p>
    <w:p>
      <w:pPr>
        <w:rPr>
          <w:rFonts w:ascii="宋体" w:hAnsi="宋体"/>
          <w:sz w:val="28"/>
          <w:szCs w:val="28"/>
        </w:rPr>
      </w:pPr>
      <w:bookmarkStart w:id="7" w:name="_Toc20156"/>
      <w:r>
        <w:rPr>
          <w:rFonts w:ascii="宋体" w:hAnsi="宋体"/>
          <w:sz w:val="28"/>
          <w:szCs w:val="28"/>
        </w:rPr>
        <w:drawing>
          <wp:inline distT="0" distB="0" distL="0" distR="0">
            <wp:extent cx="5267325" cy="2028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7"/>
    </w:p>
    <w:p>
      <w:pPr>
        <w:ind w:firstLine="562" w:firstLineChars="200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五</w:t>
      </w:r>
      <w:r>
        <w:rPr>
          <w:rFonts w:hint="eastAsia"/>
          <w:b/>
          <w:bCs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  <w:lang w:val="en-US" w:eastAsia="zh-CN"/>
        </w:rPr>
        <w:t>提现查询</w:t>
      </w:r>
    </w:p>
    <w:p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收款单位可随时查看“</w:t>
      </w:r>
      <w:r>
        <w:rPr>
          <w:rFonts w:hint="eastAsia"/>
          <w:sz w:val="28"/>
          <w:szCs w:val="28"/>
          <w:lang w:val="en-US" w:eastAsia="zh-CN"/>
        </w:rPr>
        <w:t>提现查询</w:t>
      </w:r>
      <w:r>
        <w:rPr>
          <w:rFonts w:hint="eastAsia"/>
          <w:sz w:val="28"/>
          <w:szCs w:val="28"/>
        </w:rPr>
        <w:t>”，也可根据</w:t>
      </w:r>
      <w:r>
        <w:rPr>
          <w:rFonts w:hint="eastAsia"/>
          <w:sz w:val="28"/>
          <w:szCs w:val="28"/>
          <w:lang w:val="en-US" w:eastAsia="zh-CN"/>
        </w:rPr>
        <w:t>项目名称、提现时间、提现状态、提现账户号</w:t>
      </w:r>
      <w:r>
        <w:rPr>
          <w:rFonts w:hint="eastAsia"/>
          <w:sz w:val="28"/>
          <w:szCs w:val="28"/>
        </w:rPr>
        <w:t>。</w:t>
      </w:r>
    </w:p>
    <w:p>
      <w:pPr>
        <w:ind w:firstLine="400" w:firstLineChars="200"/>
        <w:rPr>
          <w:rFonts w:hint="eastAsia"/>
          <w:b/>
          <w:sz w:val="28"/>
          <w:szCs w:val="28"/>
        </w:rPr>
      </w:pPr>
      <w:r>
        <w:drawing>
          <wp:inline distT="0" distB="0" distL="114300" distR="114300">
            <wp:extent cx="5276850" cy="22396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2" w:firstLineChars="200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五</w:t>
      </w:r>
      <w:r>
        <w:rPr>
          <w:rFonts w:hint="eastAsia"/>
          <w:b/>
          <w:bCs/>
          <w:sz w:val="28"/>
          <w:szCs w:val="28"/>
        </w:rPr>
        <w:t>）</w:t>
      </w:r>
      <w:r>
        <w:rPr>
          <w:rFonts w:hint="eastAsia"/>
          <w:b/>
          <w:bCs/>
          <w:sz w:val="28"/>
          <w:szCs w:val="28"/>
          <w:lang w:val="en-US" w:eastAsia="zh-CN"/>
        </w:rPr>
        <w:t>清分对账</w:t>
      </w:r>
    </w:p>
    <w:p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收款单位可随时查看“</w:t>
      </w:r>
      <w:r>
        <w:rPr>
          <w:rFonts w:hint="eastAsia"/>
          <w:sz w:val="28"/>
          <w:szCs w:val="28"/>
          <w:lang w:val="en-US" w:eastAsia="zh-CN"/>
        </w:rPr>
        <w:t>清分对账</w:t>
      </w:r>
      <w:r>
        <w:rPr>
          <w:rFonts w:hint="eastAsia"/>
          <w:sz w:val="28"/>
          <w:szCs w:val="28"/>
        </w:rPr>
        <w:t>”，也可根据</w:t>
      </w:r>
      <w:r>
        <w:rPr>
          <w:rFonts w:hint="eastAsia"/>
          <w:sz w:val="28"/>
          <w:szCs w:val="28"/>
          <w:lang w:val="en-US" w:eastAsia="zh-CN"/>
        </w:rPr>
        <w:t>科目、日期、对账状态进行筛选</w:t>
      </w:r>
      <w:r>
        <w:rPr>
          <w:rFonts w:hint="eastAsia"/>
          <w:sz w:val="28"/>
          <w:szCs w:val="28"/>
        </w:rPr>
        <w:t>。</w:t>
      </w:r>
    </w:p>
    <w:p>
      <w:pPr>
        <w:ind w:firstLine="400" w:firstLineChars="200"/>
      </w:pPr>
      <w:r>
        <w:drawing>
          <wp:inline distT="0" distB="0" distL="114300" distR="114300">
            <wp:extent cx="5268595" cy="1367790"/>
            <wp:effectExtent l="0" t="0" r="825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00" w:firstLineChars="200"/>
        <w:rPr>
          <w:rFonts w:hint="eastAsia"/>
        </w:rPr>
      </w:pPr>
    </w:p>
    <w:p>
      <w:pPr>
        <w:numPr>
          <w:ilvl w:val="0"/>
          <w:numId w:val="2"/>
        </w:numPr>
        <w:ind w:firstLine="562" w:firstLineChars="20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对账</w:t>
      </w:r>
      <w:r>
        <w:rPr>
          <w:rFonts w:hint="eastAsia"/>
          <w:b/>
          <w:sz w:val="28"/>
          <w:szCs w:val="28"/>
          <w:lang w:val="en-US" w:eastAsia="zh-CN"/>
        </w:rPr>
        <w:t>单</w:t>
      </w:r>
    </w:p>
    <w:p>
      <w:pPr>
        <w:ind w:firstLine="560" w:firstLineChars="200"/>
      </w:pPr>
      <w:r>
        <w:rPr>
          <w:rFonts w:hint="eastAsia"/>
          <w:sz w:val="28"/>
          <w:szCs w:val="28"/>
        </w:rPr>
        <w:t>点击“对账单”，可筛选月份，以日历的形式，如某天无对账单，则展示无账单。如有对账单，则展示下载按钮。用户鼠标悬停在某一天时，展示当天的收款金额、收款笔数，支持下载明细。</w:t>
      </w:r>
    </w:p>
    <w:p>
      <w:pPr>
        <w:rPr>
          <w:bCs/>
        </w:rPr>
      </w:pPr>
      <w:r>
        <w:drawing>
          <wp:inline distT="0" distB="0" distL="0" distR="0">
            <wp:extent cx="5267325" cy="24193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 w:val="28"/>
          <w:szCs w:val="28"/>
        </w:rPr>
      </w:pPr>
    </w:p>
    <w:p>
      <w:pPr>
        <w:ind w:firstLine="562" w:firstLineChars="200"/>
        <w:rPr>
          <w:rFonts w:hint="eastAsia"/>
          <w:b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  <w:lang w:val="en-US" w:eastAsia="zh-CN"/>
        </w:rPr>
        <w:t>七</w:t>
      </w:r>
      <w:bookmarkStart w:id="8" w:name="_GoBack"/>
      <w:bookmarkEnd w:id="8"/>
      <w:r>
        <w:rPr>
          <w:rFonts w:hint="eastAsia"/>
          <w:b/>
          <w:sz w:val="28"/>
          <w:szCs w:val="28"/>
        </w:rPr>
        <w:t>）自动对账功能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1、点击管理台的“对账管理”菜单，可查看往期的对账情况。公共支付平台会</w:t>
      </w:r>
      <w:r>
        <w:rPr>
          <w:rFonts w:hint="eastAsia"/>
          <w:sz w:val="28"/>
          <w:szCs w:val="28"/>
        </w:rPr>
        <w:t>自动匹配清分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提现</w:t>
      </w:r>
      <w:r>
        <w:rPr>
          <w:rFonts w:hint="eastAsia"/>
          <w:sz w:val="28"/>
          <w:szCs w:val="28"/>
        </w:rPr>
        <w:t>金额</w:t>
      </w:r>
      <w:r>
        <w:rPr>
          <w:rFonts w:hint="eastAsia"/>
          <w:sz w:val="28"/>
          <w:szCs w:val="28"/>
          <w:lang w:val="en-US" w:eastAsia="zh-CN"/>
        </w:rPr>
        <w:t>与上日的业务</w:t>
      </w:r>
      <w:r>
        <w:rPr>
          <w:rFonts w:hint="eastAsia"/>
          <w:sz w:val="28"/>
          <w:szCs w:val="28"/>
        </w:rPr>
        <w:t>应收金额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自动对账通过的费用科目，显示“已平账”；对账异常的费用科目，显示“异常”，须人工进行查看和核实。</w:t>
      </w:r>
      <w:r>
        <w:rPr>
          <w:rFonts w:hint="eastAsia"/>
          <w:sz w:val="28"/>
          <w:szCs w:val="28"/>
        </w:rPr>
        <w:t>功能待上线。</w:t>
      </w:r>
    </w:p>
    <w:p>
      <w:pPr>
        <w:ind w:firstLine="560" w:firstLineChars="20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支持系统对接，自动获取每日的公共支付平台收费、退款对账文件，用于各部门的业务、财务系统自动对账。例如物业办的维修资金系统，每日通过API接口获取对账文件，进行自动对账。有需要的部门，可以另行联系南京市政务服务办公室进行对接。</w:t>
      </w:r>
    </w:p>
    <w:sectPr>
      <w:footerReference r:id="rId3" w:type="default"/>
      <w:pgSz w:w="11906" w:h="16838"/>
      <w:pgMar w:top="1440" w:right="1797" w:bottom="1440" w:left="1797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szCs w:val="21"/>
      </w:rPr>
      <w:t>-</w:t>
    </w:r>
    <w:r>
      <w:rPr>
        <w:rFonts w:hint="eastAsia"/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>页</w:t>
    </w:r>
    <w:r>
      <w:rPr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F7A9B6"/>
    <w:multiLevelType w:val="singleLevel"/>
    <w:tmpl w:val="22F7A9B6"/>
    <w:lvl w:ilvl="0" w:tentative="0">
      <w:start w:val="6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3A8A12FB"/>
    <w:multiLevelType w:val="multilevel"/>
    <w:tmpl w:val="3A8A12FB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 w:ascii="宋体" w:hAnsi="宋体" w:eastAsia="宋体"/>
        <w:sz w:val="44"/>
        <w:szCs w:val="4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028"/>
    <w:rsid w:val="000D5556"/>
    <w:rsid w:val="001448F4"/>
    <w:rsid w:val="00237362"/>
    <w:rsid w:val="002503AD"/>
    <w:rsid w:val="00266475"/>
    <w:rsid w:val="002B0676"/>
    <w:rsid w:val="0037074C"/>
    <w:rsid w:val="0038144D"/>
    <w:rsid w:val="0038274F"/>
    <w:rsid w:val="003E0485"/>
    <w:rsid w:val="004376EF"/>
    <w:rsid w:val="004453D3"/>
    <w:rsid w:val="00456A49"/>
    <w:rsid w:val="00464AD9"/>
    <w:rsid w:val="004A5465"/>
    <w:rsid w:val="00626866"/>
    <w:rsid w:val="0077608B"/>
    <w:rsid w:val="0082311D"/>
    <w:rsid w:val="008B6ECA"/>
    <w:rsid w:val="00904454"/>
    <w:rsid w:val="009A5108"/>
    <w:rsid w:val="009D542D"/>
    <w:rsid w:val="009F47F2"/>
    <w:rsid w:val="00A01A70"/>
    <w:rsid w:val="00A4000F"/>
    <w:rsid w:val="00A80C9F"/>
    <w:rsid w:val="00AF69AD"/>
    <w:rsid w:val="00B83A67"/>
    <w:rsid w:val="00BA2410"/>
    <w:rsid w:val="00C02ADA"/>
    <w:rsid w:val="00C17FC4"/>
    <w:rsid w:val="00D00C91"/>
    <w:rsid w:val="00D82A92"/>
    <w:rsid w:val="00DB7028"/>
    <w:rsid w:val="00DD2ABD"/>
    <w:rsid w:val="00DE2A01"/>
    <w:rsid w:val="00E04CC1"/>
    <w:rsid w:val="00F12391"/>
    <w:rsid w:val="00F224B8"/>
    <w:rsid w:val="024E73C1"/>
    <w:rsid w:val="028F2242"/>
    <w:rsid w:val="0C8021EC"/>
    <w:rsid w:val="0DC63AAF"/>
    <w:rsid w:val="0F984114"/>
    <w:rsid w:val="0FF139CD"/>
    <w:rsid w:val="13EB55D7"/>
    <w:rsid w:val="15B34454"/>
    <w:rsid w:val="16D5791C"/>
    <w:rsid w:val="17A2396A"/>
    <w:rsid w:val="194C1EC3"/>
    <w:rsid w:val="19653819"/>
    <w:rsid w:val="1AFB60A6"/>
    <w:rsid w:val="1C1B2FB5"/>
    <w:rsid w:val="1D96492F"/>
    <w:rsid w:val="20143577"/>
    <w:rsid w:val="24A551E3"/>
    <w:rsid w:val="26390435"/>
    <w:rsid w:val="2BC15CB7"/>
    <w:rsid w:val="2BDB3065"/>
    <w:rsid w:val="2F1C5668"/>
    <w:rsid w:val="310408D1"/>
    <w:rsid w:val="32C10B9C"/>
    <w:rsid w:val="37242C3F"/>
    <w:rsid w:val="39E83B22"/>
    <w:rsid w:val="3C0A5A04"/>
    <w:rsid w:val="3EAB7EAB"/>
    <w:rsid w:val="457D0686"/>
    <w:rsid w:val="46617E86"/>
    <w:rsid w:val="4714023B"/>
    <w:rsid w:val="492C089B"/>
    <w:rsid w:val="49E71FA5"/>
    <w:rsid w:val="4B2407B6"/>
    <w:rsid w:val="4B607ACD"/>
    <w:rsid w:val="4E6B674A"/>
    <w:rsid w:val="52C00801"/>
    <w:rsid w:val="53B844BA"/>
    <w:rsid w:val="55191FAF"/>
    <w:rsid w:val="563C29CD"/>
    <w:rsid w:val="57C720FC"/>
    <w:rsid w:val="57F81F63"/>
    <w:rsid w:val="5C654101"/>
    <w:rsid w:val="5E9B677C"/>
    <w:rsid w:val="67CD4A4D"/>
    <w:rsid w:val="6A3D43FE"/>
    <w:rsid w:val="6E3B2FDB"/>
    <w:rsid w:val="71F167B7"/>
    <w:rsid w:val="741B1502"/>
    <w:rsid w:val="74A25B97"/>
    <w:rsid w:val="7D27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6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1">
    <w:name w:val="标题 1 Char"/>
    <w:basedOn w:val="9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2">
    <w:name w:val="标题 2 Char"/>
    <w:basedOn w:val="9"/>
    <w:link w:val="3"/>
    <w:qFormat/>
    <w:uiPriority w:val="0"/>
    <w:rPr>
      <w:rFonts w:ascii="Arial" w:hAnsi="Arial" w:eastAsia="黑体" w:cs="Times New Roman"/>
      <w:b/>
      <w:bCs/>
      <w:kern w:val="0"/>
      <w:sz w:val="36"/>
      <w:szCs w:val="32"/>
    </w:rPr>
  </w:style>
  <w:style w:type="character" w:customStyle="1" w:styleId="13">
    <w:name w:val="标题 3 Char"/>
    <w:basedOn w:val="9"/>
    <w:link w:val="4"/>
    <w:qFormat/>
    <w:uiPriority w:val="0"/>
    <w:rPr>
      <w:rFonts w:ascii="Times New Roman" w:hAnsi="Times New Roman" w:eastAsia="宋体" w:cs="Times New Roman"/>
      <w:b/>
      <w:bCs/>
      <w:kern w:val="0"/>
      <w:sz w:val="32"/>
      <w:szCs w:val="32"/>
    </w:rPr>
  </w:style>
  <w:style w:type="character" w:customStyle="1" w:styleId="14">
    <w:name w:val="页脚 Char"/>
    <w:basedOn w:val="9"/>
    <w:link w:val="6"/>
    <w:qFormat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paragraph" w:styleId="15">
    <w:name w:val="List Paragraph"/>
    <w:basedOn w:val="1"/>
    <w:qFormat/>
    <w:uiPriority w:val="34"/>
    <w:pPr>
      <w:widowControl w:val="0"/>
      <w:overflowPunct/>
      <w:autoSpaceDE/>
      <w:autoSpaceDN/>
      <w:adjustRightInd/>
      <w:ind w:firstLine="420" w:firstLineChars="200"/>
      <w:jc w:val="both"/>
      <w:textAlignment w:val="auto"/>
    </w:pPr>
    <w:rPr>
      <w:rFonts w:ascii="Calibri" w:hAnsi="Calibri"/>
      <w:kern w:val="2"/>
      <w:sz w:val="21"/>
      <w:szCs w:val="22"/>
    </w:rPr>
  </w:style>
  <w:style w:type="character" w:customStyle="1" w:styleId="16">
    <w:name w:val="页眉 Char"/>
    <w:basedOn w:val="9"/>
    <w:link w:val="7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7">
    <w:name w:val="批注框文本 Char"/>
    <w:basedOn w:val="9"/>
    <w:link w:val="5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147</Words>
  <Characters>844</Characters>
  <Lines>7</Lines>
  <Paragraphs>1</Paragraphs>
  <TotalTime>0</TotalTime>
  <ScaleCrop>false</ScaleCrop>
  <LinksUpToDate>false</LinksUpToDate>
  <CharactersWithSpaces>990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2021-03-17T10:13:00Z</dcterms:created>
  <dc:creator>皮 猛猛</dc:creator>
  <cp:lastModifiedBy>Admin</cp:lastModifiedBy>
  <dcterms:modified xsi:type="dcterms:W3CDTF">2021-07-09T08:09:50Z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22FF9F0FD4CB47778A1BF6FD14600F18</vt:lpwstr>
  </property>
</Properties>
</file>