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南京市政务办管理员操作指引</w:t>
      </w:r>
    </w:p>
    <w:p>
      <w:pPr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一、业务说明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南京市公共支付平台是由南京市大数据局立项建设，与统一认证平台、可信账户平台紧密对接，完成对市民、企业的唯一、实名制认证，解决收费缴款时的核认、信息匹配、支付清分等难题，应用方向包括交通出行、房产交易、工程建设缴费、校园缴费等，逐步推广到非税收入征收和公共事业性收费，服务市民和企业的办事需要。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登陆地址：</w:t>
      </w:r>
      <w:r>
        <w:fldChar w:fldCharType="begin"/>
      </w:r>
      <w:r>
        <w:instrText xml:space="preserve"> HYPERLINK "http://172.16.252.51:18082/propertySystem/index.html" </w:instrText>
      </w:r>
      <w:r>
        <w:fldChar w:fldCharType="separate"/>
      </w:r>
      <w:r>
        <w:rPr>
          <w:rStyle w:val="10"/>
          <w:rFonts w:hint="eastAsia"/>
          <w:sz w:val="28"/>
          <w:szCs w:val="28"/>
        </w:rPr>
        <w:t>http://172.16.252.5</w:t>
      </w:r>
      <w:r>
        <w:rPr>
          <w:rStyle w:val="10"/>
          <w:rFonts w:hint="eastAsia"/>
          <w:sz w:val="28"/>
          <w:szCs w:val="28"/>
          <w:lang w:val="en-US" w:eastAsia="zh-CN"/>
        </w:rPr>
        <w:t>2</w:t>
      </w:r>
      <w:r>
        <w:rPr>
          <w:rStyle w:val="10"/>
          <w:rFonts w:hint="eastAsia"/>
          <w:sz w:val="28"/>
          <w:szCs w:val="28"/>
        </w:rPr>
        <w:t>:18082/propertySystem/index.html</w:t>
      </w:r>
      <w:r>
        <w:rPr>
          <w:rStyle w:val="10"/>
          <w:rFonts w:hint="eastAsia"/>
          <w:sz w:val="28"/>
          <w:szCs w:val="28"/>
        </w:rPr>
        <w:fldChar w:fldCharType="end"/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浏览器：Chrome（可在登陆页点击下载安装）</w:t>
      </w:r>
    </w:p>
    <w:p>
      <w:pPr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二、功能说明</w:t>
      </w:r>
    </w:p>
    <w:p>
      <w:pPr>
        <w:ind w:firstLine="562" w:firstLineChars="200"/>
        <w:rPr>
          <w:rFonts w:hint="eastAsia"/>
          <w:b/>
        </w:rPr>
      </w:pPr>
      <w:r>
        <w:rPr>
          <w:rFonts w:hint="eastAsia"/>
          <w:b/>
          <w:sz w:val="28"/>
          <w:szCs w:val="28"/>
        </w:rPr>
        <w:t>（一）首页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登陆后的首页，可以查看主体基本信息、管理员信息、收款明细等，点击“查看收款明细”可直接跳至详细页。</w:t>
      </w:r>
    </w:p>
    <w:p>
      <w:pPr>
        <w:rPr>
          <w:rFonts w:hint="eastAsia"/>
        </w:rPr>
      </w:pPr>
      <w:r>
        <w:drawing>
          <wp:inline distT="0" distB="0" distL="0" distR="0">
            <wp:extent cx="5403215" cy="2354580"/>
            <wp:effectExtent l="0" t="0" r="6985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4277" cy="235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ind w:firstLine="562" w:firstLineChars="200"/>
        <w:rPr>
          <w:rFonts w:hint="eastAsia"/>
          <w:b/>
        </w:rPr>
      </w:pPr>
      <w:r>
        <w:rPr>
          <w:rFonts w:hint="eastAsia"/>
          <w:b/>
          <w:sz w:val="28"/>
          <w:szCs w:val="28"/>
        </w:rPr>
        <w:t>（二）收款明细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点击“收款明细”可查看详细收款记录，支持根据案件编号、支付类型、转让方、受让方、订单状态、时间筛选。</w:t>
      </w:r>
    </w:p>
    <w:p/>
    <w:p>
      <w:r>
        <w:drawing>
          <wp:inline distT="0" distB="0" distL="0" distR="0">
            <wp:extent cx="5257800" cy="25527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2" w:firstLineChars="200"/>
        <w:rPr>
          <w:rFonts w:hint="eastAsia"/>
          <w:b/>
        </w:rPr>
      </w:pPr>
      <w:r>
        <w:rPr>
          <w:rFonts w:hint="eastAsia"/>
          <w:b/>
          <w:sz w:val="28"/>
          <w:szCs w:val="28"/>
        </w:rPr>
        <w:t>（三）收款（POS、现金</w:t>
      </w:r>
      <w:r>
        <w:rPr>
          <w:rFonts w:hint="eastAsia"/>
          <w:b/>
          <w:sz w:val="28"/>
          <w:szCs w:val="28"/>
          <w:lang w:eastAsia="zh-CN"/>
        </w:rPr>
        <w:t>、</w:t>
      </w:r>
      <w:r>
        <w:rPr>
          <w:rFonts w:hint="eastAsia"/>
          <w:b/>
          <w:sz w:val="28"/>
          <w:szCs w:val="28"/>
          <w:lang w:val="en-US" w:eastAsia="zh-CN"/>
        </w:rPr>
        <w:t>支票</w:t>
      </w:r>
      <w:r>
        <w:rPr>
          <w:rFonts w:hint="eastAsia"/>
          <w:b/>
          <w:sz w:val="28"/>
          <w:szCs w:val="28"/>
        </w:rPr>
        <w:t>）</w:t>
      </w:r>
    </w:p>
    <w:p>
      <w:pPr>
        <w:ind w:firstLine="560" w:firstLineChars="200"/>
      </w:pPr>
      <w:r>
        <w:rPr>
          <w:rFonts w:hint="eastAsia"/>
          <w:sz w:val="28"/>
          <w:szCs w:val="28"/>
        </w:rPr>
        <w:t>点击“收款明细”里的“收款”按钮，针对待支付和部分支付的案件，支持常规的POS、现金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支票</w:t>
      </w:r>
      <w:r>
        <w:rPr>
          <w:rFonts w:hint="eastAsia"/>
          <w:sz w:val="28"/>
          <w:szCs w:val="28"/>
        </w:rPr>
        <w:t>收款功能。</w:t>
      </w:r>
    </w:p>
    <w:p>
      <w:r>
        <w:drawing>
          <wp:inline distT="0" distB="0" distL="114300" distR="114300">
            <wp:extent cx="5264785" cy="2247265"/>
            <wp:effectExtent l="0" t="0" r="12065" b="63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8120" cy="2264410"/>
            <wp:effectExtent l="0" t="0" r="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其中，支票入账后，超级管理员收到入账回单，负责核实资金的入账情况，并点击收款-支票，办结缴费订单。</w:t>
      </w:r>
    </w:p>
    <w:p>
      <w:pPr>
        <w:ind w:firstLine="562" w:firstLineChars="200"/>
        <w:rPr>
          <w:rFonts w:hint="eastAsia"/>
          <w:b/>
        </w:rPr>
      </w:pPr>
      <w:r>
        <w:rPr>
          <w:rFonts w:hint="eastAsia"/>
          <w:b/>
          <w:sz w:val="28"/>
          <w:szCs w:val="28"/>
        </w:rPr>
        <w:t>（四）退款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点击“收款明细”里的“退款”，针对待清分、已支付、已清分、部分支付的案件支持“退款”，根据审批通过的退款单录入对应的费用科目、退款金额，完成退款。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其中，如果原缴费人为转让方、受让方当事人，默认退款给原缴费人；如果原缴费人不是案件当事人，则需在界面上选择“第三方退款”，根据退款单退给指定的客户。</w:t>
      </w:r>
    </w:p>
    <w:p>
      <w:r>
        <w:drawing>
          <wp:inline distT="0" distB="0" distL="0" distR="0">
            <wp:extent cx="5276850" cy="22098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2" w:firstLineChars="200"/>
        <w:rPr>
          <w:rFonts w:hint="eastAsia"/>
          <w:b/>
        </w:rPr>
      </w:pPr>
      <w:r>
        <w:rPr>
          <w:rFonts w:hint="eastAsia"/>
          <w:b/>
          <w:sz w:val="28"/>
          <w:szCs w:val="28"/>
        </w:rPr>
        <w:t>（五）对账单</w:t>
      </w:r>
    </w:p>
    <w:p>
      <w:pPr>
        <w:ind w:firstLine="560" w:firstLineChars="200"/>
      </w:pPr>
      <w:r>
        <w:rPr>
          <w:rFonts w:hint="eastAsia"/>
          <w:sz w:val="28"/>
          <w:szCs w:val="28"/>
        </w:rPr>
        <w:t>管理员点击“对账单”，可筛选月份，以日历的形式，如某天无对账单，则展示无账单。如有对账单，则展示下载按钮。用户鼠标悬停在某一天时，展示当天的收款金额、收款笔数，支持下载明细。</w:t>
      </w:r>
    </w:p>
    <w:p>
      <w:pPr>
        <w:rPr>
          <w:bCs/>
        </w:rPr>
      </w:pPr>
      <w:r>
        <w:drawing>
          <wp:inline distT="0" distB="0" distL="0" distR="0">
            <wp:extent cx="5267325" cy="2419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2" w:firstLineChars="200"/>
        <w:rPr>
          <w:rFonts w:hint="eastAsia" w:eastAsia="宋体"/>
          <w:b/>
          <w:lang w:val="en-US" w:eastAsia="zh-CN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  <w:lang w:val="en-US" w:eastAsia="zh-CN"/>
        </w:rPr>
        <w:t>六</w:t>
      </w:r>
      <w:r>
        <w:rPr>
          <w:rFonts w:hint="eastAsia"/>
          <w:b/>
          <w:sz w:val="28"/>
          <w:szCs w:val="28"/>
        </w:rPr>
        <w:t>）退款</w:t>
      </w:r>
      <w:r>
        <w:rPr>
          <w:rFonts w:hint="eastAsia"/>
          <w:b/>
          <w:sz w:val="28"/>
          <w:szCs w:val="28"/>
          <w:lang w:val="en-US" w:eastAsia="zh-CN"/>
        </w:rPr>
        <w:t>明细</w:t>
      </w:r>
    </w:p>
    <w:p>
      <w:pPr>
        <w:ind w:firstLine="560" w:firstLineChars="200"/>
      </w:pPr>
      <w:r>
        <w:rPr>
          <w:rFonts w:hint="eastAsia"/>
          <w:sz w:val="28"/>
          <w:szCs w:val="28"/>
        </w:rPr>
        <w:t>管理员点击“退款</w:t>
      </w:r>
      <w:r>
        <w:rPr>
          <w:rFonts w:hint="eastAsia"/>
          <w:sz w:val="28"/>
          <w:szCs w:val="28"/>
          <w:lang w:val="en-US" w:eastAsia="zh-CN"/>
        </w:rPr>
        <w:t>明细</w:t>
      </w:r>
      <w:r>
        <w:rPr>
          <w:rFonts w:hint="eastAsia"/>
          <w:sz w:val="28"/>
          <w:szCs w:val="28"/>
        </w:rPr>
        <w:t>”，可查看退款明细，可根据案件编号、申请退款时间、退款状态、退款入账账号、实际退款时间筛选。点击“重新退款”，可再次操作退款（指因特殊原因退款失败的情况）。</w:t>
      </w:r>
    </w:p>
    <w:p>
      <w:r>
        <w:drawing>
          <wp:inline distT="0" distB="0" distL="0" distR="0">
            <wp:extent cx="5267325" cy="2114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2" w:firstLineChars="200"/>
        <w:rPr>
          <w:rFonts w:hint="eastAsia"/>
          <w:b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  <w:lang w:val="en-US" w:eastAsia="zh-CN"/>
        </w:rPr>
        <w:t>七</w:t>
      </w:r>
      <w:r>
        <w:rPr>
          <w:rFonts w:hint="eastAsia"/>
          <w:b/>
          <w:sz w:val="28"/>
          <w:szCs w:val="28"/>
        </w:rPr>
        <w:t>）差错处理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管理员点击“差错处理”，可展示差错处理订单列表，指POS机的支付记录与银联商务后台提供的刷卡明细匹配不上的情况，视为差错业务，需人工进行核实。可根据银行流水、交易时间、客户账户、案件编号、退款流水筛选。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管理员人工核实情况后，点击“调账”，可手工将该笔POS支付记录，关联至正确的案件编号，差错处理状态变为“已处理”。</w:t>
      </w:r>
    </w:p>
    <w:p>
      <w:r>
        <w:drawing>
          <wp:inline distT="0" distB="0" distL="0" distR="0">
            <wp:extent cx="5276850" cy="2657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2" w:firstLineChars="200"/>
        <w:rPr>
          <w:rFonts w:hint="eastAsia"/>
          <w:b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  <w:lang w:val="en-US" w:eastAsia="zh-CN"/>
        </w:rPr>
        <w:t>八</w:t>
      </w:r>
      <w:r>
        <w:rPr>
          <w:rFonts w:hint="eastAsia"/>
          <w:b/>
          <w:sz w:val="28"/>
          <w:szCs w:val="28"/>
        </w:rPr>
        <w:t>）清分明细</w:t>
      </w:r>
    </w:p>
    <w:p>
      <w:pPr>
        <w:ind w:firstLine="560" w:firstLineChars="200"/>
        <w:rPr>
          <w:rFonts w:hint="eastAsia"/>
        </w:rPr>
      </w:pPr>
      <w:r>
        <w:rPr>
          <w:rFonts w:hint="eastAsia"/>
          <w:sz w:val="28"/>
          <w:szCs w:val="28"/>
        </w:rPr>
        <w:t>管理员点击“清分明细”，展示清分明细列表，可根据收款项目、清分时间、案件编号筛选。</w:t>
      </w:r>
    </w:p>
    <w:p>
      <w:r>
        <w:drawing>
          <wp:inline distT="0" distB="0" distL="114300" distR="114300">
            <wp:extent cx="5273040" cy="2102485"/>
            <wp:effectExtent l="0" t="0" r="381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2" w:firstLineChars="200"/>
        <w:rPr>
          <w:rFonts w:hint="eastAsia"/>
          <w:b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  <w:lang w:val="en-US" w:eastAsia="zh-CN"/>
        </w:rPr>
        <w:t>九</w:t>
      </w:r>
      <w:r>
        <w:rPr>
          <w:rFonts w:hint="eastAsia"/>
          <w:b/>
          <w:sz w:val="28"/>
          <w:szCs w:val="28"/>
        </w:rPr>
        <w:t>）收款员管理</w:t>
      </w:r>
    </w:p>
    <w:p>
      <w:pPr>
        <w:ind w:firstLine="560" w:firstLineChars="200"/>
      </w:pPr>
      <w:r>
        <w:rPr>
          <w:rFonts w:hint="eastAsia"/>
          <w:sz w:val="28"/>
          <w:szCs w:val="28"/>
        </w:rPr>
        <w:t>管理员点击“收款员管理”，展示收款员清单，可以新增、修改、删除收款员信息，对于人员请及时做管理、变更。</w:t>
      </w:r>
    </w:p>
    <w:p>
      <w:r>
        <w:drawing>
          <wp:inline distT="0" distB="0" distL="0" distR="0">
            <wp:extent cx="5267325" cy="14287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562" w:firstLineChars="20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（十）出入金查询</w:t>
      </w:r>
    </w:p>
    <w:p>
      <w:pPr>
        <w:ind w:firstLine="560" w:firstLineChars="20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管理员点击“</w:t>
      </w:r>
      <w:r>
        <w:rPr>
          <w:rFonts w:hint="eastAsia"/>
          <w:sz w:val="28"/>
          <w:szCs w:val="28"/>
          <w:lang w:val="en-US" w:eastAsia="zh-CN"/>
        </w:rPr>
        <w:t>出入金查询</w:t>
      </w:r>
      <w:r>
        <w:rPr>
          <w:rFonts w:hint="eastAsia"/>
          <w:sz w:val="28"/>
          <w:szCs w:val="28"/>
        </w:rPr>
        <w:t>”，展示</w:t>
      </w:r>
      <w:r>
        <w:rPr>
          <w:rFonts w:hint="eastAsia"/>
          <w:sz w:val="28"/>
          <w:szCs w:val="28"/>
          <w:lang w:val="en-US" w:eastAsia="zh-CN"/>
        </w:rPr>
        <w:t>明细列表</w:t>
      </w:r>
      <w:r>
        <w:rPr>
          <w:rFonts w:hint="eastAsia"/>
          <w:sz w:val="28"/>
          <w:szCs w:val="28"/>
        </w:rPr>
        <w:t>，可以</w:t>
      </w:r>
      <w:r>
        <w:rPr>
          <w:rFonts w:hint="eastAsia"/>
          <w:sz w:val="28"/>
          <w:szCs w:val="28"/>
          <w:lang w:val="en-US" w:eastAsia="zh-CN"/>
        </w:rPr>
        <w:t>搜索、导出、下载回单操作</w:t>
      </w:r>
      <w:r>
        <w:rPr>
          <w:rFonts w:hint="eastAsia"/>
          <w:sz w:val="28"/>
          <w:szCs w:val="28"/>
        </w:rPr>
        <w:t>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2590165"/>
            <wp:effectExtent l="0" t="0" r="1079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562" w:firstLineChars="20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子账户管理</w:t>
      </w:r>
    </w:p>
    <w:p>
      <w:pPr>
        <w:ind w:firstLine="560" w:firstLineChars="200"/>
      </w:pPr>
      <w:r>
        <w:rPr>
          <w:rFonts w:hint="eastAsia"/>
          <w:sz w:val="28"/>
          <w:szCs w:val="28"/>
        </w:rPr>
        <w:t>管理员点击“</w:t>
      </w:r>
      <w:r>
        <w:rPr>
          <w:rFonts w:hint="eastAsia"/>
          <w:sz w:val="28"/>
          <w:szCs w:val="28"/>
          <w:lang w:val="en-US" w:eastAsia="zh-CN"/>
        </w:rPr>
        <w:t>子账户管理</w:t>
      </w:r>
      <w:r>
        <w:rPr>
          <w:rFonts w:hint="eastAsia"/>
          <w:sz w:val="28"/>
          <w:szCs w:val="28"/>
        </w:rPr>
        <w:t>”，展示</w:t>
      </w:r>
      <w:r>
        <w:rPr>
          <w:rFonts w:hint="eastAsia"/>
          <w:sz w:val="28"/>
          <w:szCs w:val="28"/>
          <w:lang w:val="en-US" w:eastAsia="zh-CN"/>
        </w:rPr>
        <w:t>子账户列表</w:t>
      </w:r>
      <w:r>
        <w:rPr>
          <w:rFonts w:hint="eastAsia"/>
          <w:sz w:val="28"/>
          <w:szCs w:val="28"/>
        </w:rPr>
        <w:t>，可以</w:t>
      </w:r>
      <w:r>
        <w:rPr>
          <w:rFonts w:hint="eastAsia"/>
          <w:sz w:val="28"/>
          <w:szCs w:val="28"/>
          <w:lang w:val="en-US" w:eastAsia="zh-CN"/>
        </w:rPr>
        <w:t>新增、提现、修改、激活等操作</w:t>
      </w:r>
      <w:r>
        <w:rPr>
          <w:rFonts w:hint="eastAsia"/>
          <w:sz w:val="28"/>
          <w:szCs w:val="28"/>
        </w:rPr>
        <w:t>。</w:t>
      </w:r>
    </w:p>
    <w:p>
      <w:r>
        <w:drawing>
          <wp:inline distT="0" distB="0" distL="114300" distR="114300">
            <wp:extent cx="5266690" cy="1812925"/>
            <wp:effectExtent l="0" t="0" r="1016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bookmarkStart w:id="0" w:name="_Toc29835"/>
      <w:bookmarkStart w:id="1" w:name="_Toc24415"/>
    </w:p>
    <w:bookmarkEnd w:id="0"/>
    <w:bookmarkEnd w:id="1"/>
    <w:p/>
    <w:p>
      <w:pPr>
        <w:ind w:firstLine="562" w:firstLineChars="200"/>
        <w:rPr>
          <w:rFonts w:hint="eastAsia"/>
          <w:b/>
        </w:rPr>
      </w:pPr>
      <w:r>
        <w:rPr>
          <w:rFonts w:hint="eastAsia"/>
          <w:b/>
          <w:sz w:val="28"/>
          <w:szCs w:val="28"/>
        </w:rPr>
        <w:t>（十</w:t>
      </w:r>
      <w:r>
        <w:rPr>
          <w:rFonts w:hint="eastAsia"/>
          <w:b/>
          <w:sz w:val="28"/>
          <w:szCs w:val="28"/>
          <w:lang w:val="en-US" w:eastAsia="zh-CN"/>
        </w:rPr>
        <w:t>二</w:t>
      </w:r>
      <w:r>
        <w:rPr>
          <w:rFonts w:hint="eastAsia"/>
          <w:b/>
          <w:sz w:val="28"/>
          <w:szCs w:val="28"/>
        </w:rPr>
        <w:t>）自动对账功能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管理员点击“</w:t>
      </w:r>
      <w:r>
        <w:rPr>
          <w:rFonts w:hint="eastAsia"/>
          <w:sz w:val="28"/>
          <w:szCs w:val="28"/>
          <w:lang w:val="en-US" w:eastAsia="zh-CN"/>
        </w:rPr>
        <w:t>对账</w:t>
      </w:r>
      <w:r>
        <w:rPr>
          <w:rFonts w:hint="eastAsia"/>
          <w:sz w:val="28"/>
          <w:szCs w:val="28"/>
        </w:rPr>
        <w:t>管理”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可以查看</w:t>
      </w:r>
      <w:r>
        <w:rPr>
          <w:rFonts w:hint="eastAsia"/>
          <w:sz w:val="28"/>
          <w:szCs w:val="28"/>
        </w:rPr>
        <w:t>清分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提现</w:t>
      </w:r>
      <w:r>
        <w:rPr>
          <w:rFonts w:hint="eastAsia"/>
          <w:sz w:val="28"/>
          <w:szCs w:val="28"/>
        </w:rPr>
        <w:t>金额</w:t>
      </w:r>
      <w:r>
        <w:rPr>
          <w:rFonts w:hint="eastAsia"/>
          <w:sz w:val="28"/>
          <w:szCs w:val="28"/>
          <w:lang w:val="en-US" w:eastAsia="zh-CN"/>
        </w:rPr>
        <w:t>与上日业务</w:t>
      </w:r>
      <w:r>
        <w:rPr>
          <w:rFonts w:hint="eastAsia"/>
          <w:sz w:val="28"/>
          <w:szCs w:val="28"/>
        </w:rPr>
        <w:t>应收金额的</w:t>
      </w:r>
      <w:r>
        <w:rPr>
          <w:rFonts w:hint="eastAsia"/>
          <w:sz w:val="28"/>
          <w:szCs w:val="28"/>
          <w:lang w:val="en-US" w:eastAsia="zh-CN"/>
        </w:rPr>
        <w:t>自动匹配</w:t>
      </w:r>
      <w:r>
        <w:rPr>
          <w:rFonts w:hint="eastAsia"/>
          <w:sz w:val="28"/>
          <w:szCs w:val="28"/>
        </w:rPr>
        <w:t>情况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val="en-US" w:eastAsia="zh-CN"/>
        </w:rPr>
        <w:t>对账通过的，显示“已平账”；对账异常的显示“异常”，须人工进一步核实。</w:t>
      </w:r>
      <w:r>
        <w:rPr>
          <w:rFonts w:hint="eastAsia"/>
          <w:sz w:val="28"/>
          <w:szCs w:val="28"/>
        </w:rPr>
        <w:t>功能待上线。</w:t>
      </w:r>
    </w:p>
    <w:p>
      <w:pPr>
        <w:ind w:firstLine="562" w:firstLineChars="200"/>
        <w:rPr>
          <w:rFonts w:hint="eastAsia"/>
          <w:b/>
        </w:rPr>
      </w:pPr>
      <w:r>
        <w:rPr>
          <w:rFonts w:hint="eastAsia"/>
          <w:b/>
          <w:sz w:val="28"/>
          <w:szCs w:val="28"/>
        </w:rPr>
        <w:t>（十</w:t>
      </w:r>
      <w:r>
        <w:rPr>
          <w:rFonts w:hint="eastAsia"/>
          <w:b/>
          <w:sz w:val="28"/>
          <w:szCs w:val="28"/>
          <w:lang w:val="en-US" w:eastAsia="zh-CN"/>
        </w:rPr>
        <w:t>三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  <w:lang w:val="en-US" w:eastAsia="zh-CN"/>
        </w:rPr>
        <w:t>监管账户</w:t>
      </w:r>
      <w:r>
        <w:rPr>
          <w:rFonts w:hint="eastAsia"/>
          <w:b/>
          <w:sz w:val="28"/>
          <w:szCs w:val="28"/>
        </w:rPr>
        <w:t>资金明细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管理员点击“</w:t>
      </w:r>
      <w:r>
        <w:rPr>
          <w:rFonts w:hint="eastAsia"/>
          <w:sz w:val="28"/>
          <w:szCs w:val="28"/>
          <w:lang w:val="en-US" w:eastAsia="zh-CN"/>
        </w:rPr>
        <w:t>监管账户</w:t>
      </w:r>
      <w:r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  <w:lang w:val="en-US" w:eastAsia="zh-CN"/>
        </w:rPr>
        <w:t>菜单，可以</w:t>
      </w:r>
      <w:r>
        <w:rPr>
          <w:rFonts w:hint="eastAsia"/>
          <w:sz w:val="28"/>
          <w:szCs w:val="28"/>
        </w:rPr>
        <w:t>查询南京市政务管理服务办公室的实体</w:t>
      </w:r>
      <w:r>
        <w:rPr>
          <w:rFonts w:hint="eastAsia"/>
          <w:sz w:val="28"/>
          <w:szCs w:val="28"/>
          <w:lang w:val="en-US" w:eastAsia="zh-CN"/>
        </w:rPr>
        <w:t>对公</w:t>
      </w:r>
      <w:r>
        <w:rPr>
          <w:rFonts w:hint="eastAsia"/>
          <w:sz w:val="28"/>
          <w:szCs w:val="28"/>
        </w:rPr>
        <w:t>账户</w:t>
      </w:r>
      <w:r>
        <w:rPr>
          <w:rFonts w:hint="eastAsia"/>
          <w:sz w:val="28"/>
          <w:szCs w:val="28"/>
          <w:lang w:val="en-US" w:eastAsia="zh-CN"/>
        </w:rPr>
        <w:t>的资金</w:t>
      </w:r>
      <w:r>
        <w:rPr>
          <w:rFonts w:hint="eastAsia"/>
          <w:sz w:val="28"/>
          <w:szCs w:val="28"/>
        </w:rPr>
        <w:t>明细，</w:t>
      </w:r>
      <w:r>
        <w:rPr>
          <w:rFonts w:hint="eastAsia"/>
          <w:sz w:val="28"/>
          <w:szCs w:val="28"/>
          <w:lang w:val="en-US" w:eastAsia="zh-CN"/>
        </w:rPr>
        <w:t>用于核实支票入账等收付款情况。</w:t>
      </w:r>
    </w:p>
    <w:p>
      <w:pPr>
        <w:ind w:firstLine="562" w:firstLineChars="200"/>
        <w:rPr>
          <w:rFonts w:hint="eastAsia"/>
          <w:b/>
        </w:rPr>
      </w:pPr>
      <w:r>
        <w:rPr>
          <w:rFonts w:hint="eastAsia"/>
          <w:b/>
          <w:sz w:val="28"/>
          <w:szCs w:val="28"/>
        </w:rPr>
        <w:t>（十</w:t>
      </w:r>
      <w:r>
        <w:rPr>
          <w:rFonts w:hint="eastAsia"/>
          <w:b/>
          <w:sz w:val="28"/>
          <w:szCs w:val="28"/>
          <w:lang w:val="en-US" w:eastAsia="zh-CN"/>
        </w:rPr>
        <w:t>四</w:t>
      </w:r>
      <w:r>
        <w:rPr>
          <w:rFonts w:hint="eastAsia"/>
          <w:b/>
          <w:sz w:val="28"/>
          <w:szCs w:val="28"/>
        </w:rPr>
        <w:t>）电子回单功能</w:t>
      </w:r>
    </w:p>
    <w:p>
      <w:pPr>
        <w:ind w:firstLine="560" w:firstLineChars="200"/>
        <w:rPr>
          <w:rFonts w:hint="default" w:eastAsia="宋体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根据资金明细</w:t>
      </w:r>
      <w:r>
        <w:rPr>
          <w:rFonts w:hint="eastAsia"/>
          <w:sz w:val="28"/>
          <w:szCs w:val="28"/>
        </w:rPr>
        <w:t>查看和下载南京市政务管理服务办公室的</w:t>
      </w:r>
      <w:r>
        <w:rPr>
          <w:rFonts w:hint="eastAsia"/>
          <w:sz w:val="28"/>
          <w:szCs w:val="28"/>
          <w:lang w:val="en-US" w:eastAsia="zh-CN"/>
        </w:rPr>
        <w:t>电子</w:t>
      </w:r>
      <w:r>
        <w:rPr>
          <w:rFonts w:hint="eastAsia"/>
          <w:sz w:val="28"/>
          <w:szCs w:val="28"/>
        </w:rPr>
        <w:t>回单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由南京银行按日提供上一日的回单文件</w:t>
      </w:r>
      <w:bookmarkStart w:id="2" w:name="_GoBack"/>
      <w:bookmarkEnd w:id="2"/>
      <w:r>
        <w:rPr>
          <w:rFonts w:hint="eastAsia"/>
          <w:sz w:val="28"/>
          <w:szCs w:val="28"/>
          <w:lang w:val="en-US" w:eastAsia="zh-CN"/>
        </w:rPr>
        <w:t>至公共支付平台。</w:t>
      </w:r>
    </w:p>
    <w:sectPr>
      <w:footerReference r:id="rId3" w:type="default"/>
      <w:pgSz w:w="11906" w:h="16838"/>
      <w:pgMar w:top="1440" w:right="1797" w:bottom="1440" w:left="1797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szCs w:val="21"/>
      </w:rPr>
      <w:t>-</w:t>
    </w:r>
    <w:r>
      <w:rPr>
        <w:rFonts w:hint="eastAsia"/>
        <w:szCs w:val="21"/>
      </w:rPr>
      <w:t>第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6</w:t>
    </w:r>
    <w:r>
      <w:rPr>
        <w:szCs w:val="21"/>
      </w:rPr>
      <w:fldChar w:fldCharType="end"/>
    </w:r>
    <w:r>
      <w:rPr>
        <w:rFonts w:hint="eastAsia"/>
        <w:szCs w:val="21"/>
      </w:rPr>
      <w:t>页</w:t>
    </w:r>
    <w:r>
      <w:rPr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8231BF"/>
    <w:multiLevelType w:val="singleLevel"/>
    <w:tmpl w:val="998231BF"/>
    <w:lvl w:ilvl="0" w:tentative="0">
      <w:start w:val="1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3A8A12FB"/>
    <w:multiLevelType w:val="multilevel"/>
    <w:tmpl w:val="3A8A12FB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 w:ascii="宋体" w:hAnsi="宋体" w:eastAsia="宋体"/>
        <w:sz w:val="44"/>
        <w:szCs w:val="44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028"/>
    <w:rsid w:val="000513CA"/>
    <w:rsid w:val="001826EC"/>
    <w:rsid w:val="001C1CFD"/>
    <w:rsid w:val="001E6A05"/>
    <w:rsid w:val="00222963"/>
    <w:rsid w:val="002E0F2E"/>
    <w:rsid w:val="00300130"/>
    <w:rsid w:val="0037074C"/>
    <w:rsid w:val="0038274F"/>
    <w:rsid w:val="003B0984"/>
    <w:rsid w:val="00443F4E"/>
    <w:rsid w:val="004453D3"/>
    <w:rsid w:val="00464AD9"/>
    <w:rsid w:val="00470799"/>
    <w:rsid w:val="0049356D"/>
    <w:rsid w:val="004A5465"/>
    <w:rsid w:val="005C3BA7"/>
    <w:rsid w:val="005D6DC2"/>
    <w:rsid w:val="005F4766"/>
    <w:rsid w:val="00603A09"/>
    <w:rsid w:val="00606F0F"/>
    <w:rsid w:val="00611EB0"/>
    <w:rsid w:val="006139DC"/>
    <w:rsid w:val="006740A8"/>
    <w:rsid w:val="00685C19"/>
    <w:rsid w:val="00690988"/>
    <w:rsid w:val="006F6D6D"/>
    <w:rsid w:val="0075322E"/>
    <w:rsid w:val="00754FEF"/>
    <w:rsid w:val="00782F72"/>
    <w:rsid w:val="007D5E75"/>
    <w:rsid w:val="00844355"/>
    <w:rsid w:val="0086707E"/>
    <w:rsid w:val="008A33D4"/>
    <w:rsid w:val="008B4445"/>
    <w:rsid w:val="00951464"/>
    <w:rsid w:val="009539D6"/>
    <w:rsid w:val="00957CAA"/>
    <w:rsid w:val="009A5108"/>
    <w:rsid w:val="00A01A70"/>
    <w:rsid w:val="00A54D61"/>
    <w:rsid w:val="00AD1B5C"/>
    <w:rsid w:val="00B5349C"/>
    <w:rsid w:val="00BA6D7A"/>
    <w:rsid w:val="00C917FC"/>
    <w:rsid w:val="00D0376F"/>
    <w:rsid w:val="00D204F7"/>
    <w:rsid w:val="00D21468"/>
    <w:rsid w:val="00D30601"/>
    <w:rsid w:val="00DB7028"/>
    <w:rsid w:val="00DE2A01"/>
    <w:rsid w:val="00E92F03"/>
    <w:rsid w:val="00EE0666"/>
    <w:rsid w:val="00F34B26"/>
    <w:rsid w:val="01742480"/>
    <w:rsid w:val="035318F2"/>
    <w:rsid w:val="040A05E4"/>
    <w:rsid w:val="06837DB6"/>
    <w:rsid w:val="06BF09FB"/>
    <w:rsid w:val="07DD20B5"/>
    <w:rsid w:val="08180D92"/>
    <w:rsid w:val="094832C4"/>
    <w:rsid w:val="0A94574D"/>
    <w:rsid w:val="0CE0050B"/>
    <w:rsid w:val="120465F4"/>
    <w:rsid w:val="1332199B"/>
    <w:rsid w:val="158A035A"/>
    <w:rsid w:val="19634629"/>
    <w:rsid w:val="1BCB34F1"/>
    <w:rsid w:val="1D716756"/>
    <w:rsid w:val="1FAF3C42"/>
    <w:rsid w:val="211B2196"/>
    <w:rsid w:val="23616A7E"/>
    <w:rsid w:val="24241B38"/>
    <w:rsid w:val="2487411C"/>
    <w:rsid w:val="27D323F2"/>
    <w:rsid w:val="282A1C36"/>
    <w:rsid w:val="2E9E34C2"/>
    <w:rsid w:val="31C96019"/>
    <w:rsid w:val="332A405D"/>
    <w:rsid w:val="333B1A95"/>
    <w:rsid w:val="33C23665"/>
    <w:rsid w:val="34EE649A"/>
    <w:rsid w:val="34F31A43"/>
    <w:rsid w:val="35482D57"/>
    <w:rsid w:val="36E04658"/>
    <w:rsid w:val="36F63C6B"/>
    <w:rsid w:val="384368C0"/>
    <w:rsid w:val="3BC30C06"/>
    <w:rsid w:val="3CC554E8"/>
    <w:rsid w:val="439510A4"/>
    <w:rsid w:val="459112E0"/>
    <w:rsid w:val="47E04DFF"/>
    <w:rsid w:val="500D5B8A"/>
    <w:rsid w:val="52A22D4D"/>
    <w:rsid w:val="53AA02B0"/>
    <w:rsid w:val="56D0106D"/>
    <w:rsid w:val="577E38ED"/>
    <w:rsid w:val="582E55EE"/>
    <w:rsid w:val="58653CD8"/>
    <w:rsid w:val="5885755B"/>
    <w:rsid w:val="58AF7263"/>
    <w:rsid w:val="5C03376D"/>
    <w:rsid w:val="5C9D24F1"/>
    <w:rsid w:val="5D4D25FF"/>
    <w:rsid w:val="5F073212"/>
    <w:rsid w:val="5F1F2A0F"/>
    <w:rsid w:val="60FD4D1A"/>
    <w:rsid w:val="6501263F"/>
    <w:rsid w:val="65082246"/>
    <w:rsid w:val="69FD3ED6"/>
    <w:rsid w:val="6AB90347"/>
    <w:rsid w:val="6B602CDF"/>
    <w:rsid w:val="6C2A28F3"/>
    <w:rsid w:val="6C9378B1"/>
    <w:rsid w:val="6CCD07B3"/>
    <w:rsid w:val="733F3F6B"/>
    <w:rsid w:val="739A6D26"/>
    <w:rsid w:val="794F7011"/>
    <w:rsid w:val="7A0B4E07"/>
    <w:rsid w:val="7B0A16B3"/>
    <w:rsid w:val="7B7E6ED0"/>
    <w:rsid w:val="7C04692C"/>
    <w:rsid w:val="7D9D6162"/>
    <w:rsid w:val="7E387535"/>
    <w:rsid w:val="7F82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6"/>
      <w:szCs w:val="32"/>
    </w:rPr>
  </w:style>
  <w:style w:type="paragraph" w:styleId="4">
    <w:name w:val="heading 3"/>
    <w:basedOn w:val="1"/>
    <w:next w:val="1"/>
    <w:link w:val="13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customStyle="1" w:styleId="11">
    <w:name w:val="标题 1 Char"/>
    <w:basedOn w:val="9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2">
    <w:name w:val="标题 2 Char"/>
    <w:basedOn w:val="9"/>
    <w:link w:val="3"/>
    <w:qFormat/>
    <w:uiPriority w:val="0"/>
    <w:rPr>
      <w:rFonts w:ascii="Arial" w:hAnsi="Arial" w:eastAsia="黑体" w:cs="Times New Roman"/>
      <w:b/>
      <w:bCs/>
      <w:kern w:val="0"/>
      <w:sz w:val="36"/>
      <w:szCs w:val="32"/>
    </w:rPr>
  </w:style>
  <w:style w:type="character" w:customStyle="1" w:styleId="13">
    <w:name w:val="标题 3 Char"/>
    <w:basedOn w:val="9"/>
    <w:link w:val="4"/>
    <w:qFormat/>
    <w:uiPriority w:val="0"/>
    <w:rPr>
      <w:rFonts w:ascii="Times New Roman" w:hAnsi="Times New Roman" w:eastAsia="宋体" w:cs="Times New Roman"/>
      <w:b/>
      <w:bCs/>
      <w:kern w:val="0"/>
      <w:sz w:val="32"/>
      <w:szCs w:val="32"/>
    </w:rPr>
  </w:style>
  <w:style w:type="character" w:customStyle="1" w:styleId="14">
    <w:name w:val="页脚 Char"/>
    <w:basedOn w:val="9"/>
    <w:link w:val="6"/>
    <w:qFormat/>
    <w:uiPriority w:val="0"/>
    <w:rPr>
      <w:rFonts w:ascii="Times New Roman" w:hAnsi="Times New Roman" w:eastAsia="宋体" w:cs="Times New Roman"/>
      <w:kern w:val="0"/>
      <w:sz w:val="18"/>
      <w:szCs w:val="18"/>
    </w:rPr>
  </w:style>
  <w:style w:type="paragraph" w:styleId="15">
    <w:name w:val="List Paragraph"/>
    <w:basedOn w:val="1"/>
    <w:qFormat/>
    <w:uiPriority w:val="34"/>
    <w:pPr>
      <w:widowControl w:val="0"/>
      <w:overflowPunct/>
      <w:autoSpaceDE/>
      <w:autoSpaceDN/>
      <w:adjustRightInd/>
      <w:ind w:firstLine="420" w:firstLineChars="200"/>
      <w:jc w:val="both"/>
      <w:textAlignment w:val="auto"/>
    </w:pPr>
    <w:rPr>
      <w:rFonts w:ascii="Calibri" w:hAnsi="Calibri"/>
      <w:kern w:val="2"/>
      <w:sz w:val="21"/>
      <w:szCs w:val="22"/>
    </w:rPr>
  </w:style>
  <w:style w:type="character" w:customStyle="1" w:styleId="16">
    <w:name w:val="页眉 Char"/>
    <w:basedOn w:val="9"/>
    <w:link w:val="7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17">
    <w:name w:val="批注框文本 Char"/>
    <w:basedOn w:val="9"/>
    <w:link w:val="5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CFDD49-3630-426A-9050-DDC2CE0F62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232</Words>
  <Characters>1326</Characters>
  <Lines>11</Lines>
  <Paragraphs>3</Paragraphs>
  <TotalTime>6</TotalTime>
  <ScaleCrop>false</ScaleCrop>
  <LinksUpToDate>false</LinksUpToDate>
  <CharactersWithSpaces>1555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2021-03-17T10:13:00Z</dcterms:created>
  <dc:creator>皮 猛猛</dc:creator>
  <cp:lastModifiedBy>Admin</cp:lastModifiedBy>
  <dcterms:modified xsi:type="dcterms:W3CDTF">2021-07-09T08:18:37Z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109B89E2DEA54C0895E71C94BE771E16</vt:lpwstr>
  </property>
</Properties>
</file>