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rFonts w:ascii="Calibri" w:cs="Calibri" w:eastAsia="Calibri" w:hAnsi="Calibri"/>
          <w:b/>
          <w:bCs/>
          <w:color w:val="1F3864"/>
          <w:sz w:val="56"/>
          <w:szCs w:val="56"/>
        </w:rPr>
        <w:t xml:space="preserve">Benchmark-Report</w:t>
      </w:r>
    </w:p>
    <w:p>
      <w:pPr>
        <w:spacing w:after="300"/>
      </w:pPr>
      <w:r>
        <w:rPr>
          <w:rFonts w:ascii="Calibri" w:cs="Calibri" w:eastAsia="Calibri" w:hAnsi="Calibri"/>
          <w:color w:val="404040"/>
          <w:sz w:val="40"/>
          <w:szCs w:val="40"/>
        </w:rPr>
        <w:t xml:space="preserve">Kinnovis und Stora im Vergleich</w:t>
      </w:r>
    </w:p>
    <w:p>
      <w:pPr>
        <w:pBdr>
          <w:bottom w:val="single" w:color="1F3864" w:sz="6"/>
        </w:pBdr>
        <w:spacing w:after="200"/>
      </w:pPr>
    </w:p>
    <w:p>
      <w:pPr>
        <w:spacing w:after="400" w:line="276"/>
      </w:pPr>
      <w:r>
        <w:rPr>
          <w:rFonts w:ascii="Calibri" w:cs="Calibri" w:eastAsia="Calibri" w:hAnsi="Calibri"/>
          <w:b/>
          <w:bCs/>
          <w:sz w:val="24"/>
          <w:szCs w:val="24"/>
        </w:rPr>
        <w:t xml:space="preserve">Schwerpunkt: Zahlungsabwicklung, Einbindung der Bestandskunden und Automatisierung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238"/>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Feld</w:t>
            </w:r>
          </w:p>
        </w:tc>
        <w:tc>
          <w:tcPr>
            <w:tcW w:type="dxa" w:w="72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Angabe</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Auftraggeber</w:t>
            </w:r>
          </w:p>
        </w:tc>
        <w:tc>
          <w:tcPr>
            <w:tcW w:type="dxa" w:w="7238"/>
            <w:tcMar>
              <w:top w:type="dxa" w:w="60"/>
              <w:left w:type="dxa" w:w="100"/>
              <w:bottom w:type="dxa" w:w="60"/>
              <w:right w:type="dxa" w:w="100"/>
            </w:tcMar>
          </w:tcPr>
          <w:p>
            <w:pPr>
              <w:spacing w:after="0" w:line="250"/>
            </w:pPr>
            <w:r>
              <w:rPr>
                <w:rFonts w:ascii="Calibri" w:cs="Calibri" w:eastAsia="Calibri" w:hAnsi="Calibri"/>
                <w:sz w:val="19"/>
                <w:szCs w:val="19"/>
              </w:rPr>
              <w:t xml:space="preserve">deinPlatz.at, Reitschulgasse 16, 9500 Villach</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Vorhaben</w:t>
            </w:r>
          </w:p>
        </w:tc>
        <w:tc>
          <w:tcPr>
            <w:tcW w:type="dxa" w:w="72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Ablöse des Kernsystems für Kundenverwaltung und Transaktionen</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Heutiges System</w:t>
            </w:r>
          </w:p>
        </w:tc>
        <w:tc>
          <w:tcPr>
            <w:tcW w:type="dxa" w:w="7238"/>
            <w:tcMar>
              <w:top w:type="dxa" w:w="60"/>
              <w:left w:type="dxa" w:w="100"/>
              <w:bottom w:type="dxa" w:w="60"/>
              <w:right w:type="dxa" w:w="100"/>
            </w:tcMar>
          </w:tcPr>
          <w:p>
            <w:pPr>
              <w:spacing w:after="0" w:line="250"/>
            </w:pPr>
            <w:r>
              <w:rPr>
                <w:rFonts w:ascii="Calibri" w:cs="Calibri" w:eastAsia="Calibri" w:hAnsi="Calibri"/>
                <w:sz w:val="19"/>
                <w:szCs w:val="19"/>
              </w:rPr>
              <w:t xml:space="preserve">Zoho Subscriptions, SEPA-Einzug und Überweisung über eigenes Bankkonto</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Gegenstand dieses Reports</w:t>
            </w:r>
          </w:p>
        </w:tc>
        <w:tc>
          <w:tcPr>
            <w:tcW w:type="dxa" w:w="72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Produktvergleich Kinnovis gegen Stora, Schwerpunkt Zahlungsabwicklung</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Version / Stand</w:t>
            </w:r>
          </w:p>
        </w:tc>
        <w:tc>
          <w:tcPr>
            <w:tcW w:type="dxa" w:w="7238"/>
            <w:tcMar>
              <w:top w:type="dxa" w:w="60"/>
              <w:left w:type="dxa" w:w="100"/>
              <w:bottom w:type="dxa" w:w="60"/>
              <w:right w:type="dxa" w:w="100"/>
            </w:tcMar>
          </w:tcPr>
          <w:p>
            <w:pPr>
              <w:spacing w:after="0" w:line="250"/>
            </w:pPr>
            <w:r>
              <w:rPr>
                <w:rFonts w:ascii="Calibri" w:cs="Calibri" w:eastAsia="Calibri" w:hAnsi="Calibri"/>
                <w:sz w:val="19"/>
                <w:szCs w:val="19"/>
              </w:rPr>
              <w:t xml:space="preserve">1.0 / 06.09.2026</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Erstellt von</w:t>
            </w:r>
          </w:p>
        </w:tc>
        <w:tc>
          <w:tcPr>
            <w:tcW w:type="dxa" w:w="72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accilium</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Status</w:t>
            </w:r>
          </w:p>
        </w:tc>
        <w:tc>
          <w:tcPr>
            <w:tcW w:type="dxa" w:w="7238"/>
            <w:tcMar>
              <w:top w:type="dxa" w:w="60"/>
              <w:left w:type="dxa" w:w="100"/>
              <w:bottom w:type="dxa" w:w="60"/>
              <w:right w:type="dxa" w:w="100"/>
            </w:tcMar>
          </w:tcPr>
          <w:p>
            <w:pPr>
              <w:spacing w:after="0" w:line="250"/>
            </w:pPr>
            <w:r>
              <w:rPr>
                <w:rFonts w:ascii="Calibri" w:cs="Calibri" w:eastAsia="Calibri" w:hAnsi="Calibri"/>
                <w:sz w:val="19"/>
                <w:szCs w:val="19"/>
              </w:rPr>
              <w:t xml:space="preserve">Entscheidungsvorlage, vor den Anbieterdemos</w:t>
            </w:r>
          </w:p>
        </w:tc>
      </w:tr>
    </w:tbl>
    <w:p>
      <w:pPr>
        <w:spacing w:after="400"/>
      </w:pPr>
    </w:p>
    <w:p>
      <w:pPr>
        <w:spacing w:after="200" w:line="276"/>
      </w:pPr>
      <w:r>
        <w:rPr>
          <w:rFonts w:ascii="Calibri" w:cs="Calibri" w:eastAsia="Calibri" w:hAnsi="Calibri"/>
          <w:b/>
          <w:bCs/>
          <w:sz w:val="21"/>
          <w:szCs w:val="21"/>
        </w:rPr>
        <w:t xml:space="preserve">Vertraulich. </w:t>
      </w:r>
      <w:r>
        <w:rPr>
          <w:rFonts w:ascii="Calibri" w:cs="Calibri" w:eastAsia="Calibri" w:hAnsi="Calibri"/>
          <w:sz w:val="21"/>
          <w:szCs w:val="21"/>
        </w:rPr>
        <w:t xml:space="preserve">Dieser Report enthält Angaben zu Preisen und Konditionen Dritter, die aus öffentlichen Quellen stammen und nicht verbindlich sind. Verbindlich sind ausschließlich die schriftlichen Angebote der Anbieter.</w:t>
      </w:r>
    </w:p>
    <w:p>
      <w:pPr>
        <w:spacing w:after="120" w:line="276"/>
      </w:pPr>
      <w:r>
        <w:rPr>
          <w:rFonts w:ascii="Calibri" w:cs="Calibri" w:eastAsia="Calibri" w:hAnsi="Calibri"/>
          <w:i/>
          <w:iCs/>
          <w:sz w:val="21"/>
          <w:szCs w:val="21"/>
        </w:rPr>
        <w:t xml:space="preserve">Dieser Report ersetzt keine Rechts- oder Steuerberatung. Aussagen zu SEPA, Umsatzsteuer und Aufbewahrung sind als Prüfauftrag an Steuerberatung und Bank formuliert.</w:t>
      </w:r>
    </w:p>
    <w:p>
      <w:r>
        <w:br w:type="page"/>
      </w:r>
    </w:p>
    <w:p>
      <w:pPr>
        <w:pStyle w:val="Heading1"/>
        <w:spacing w:after="180" w:before="360"/>
      </w:pPr>
      <w:r>
        <w:rPr>
          <w:rFonts w:ascii="Calibri" w:cs="Calibri" w:eastAsia="Calibri" w:hAnsi="Calibri"/>
          <w:b/>
          <w:bCs/>
          <w:color w:val="1F3864"/>
          <w:sz w:val="30"/>
          <w:szCs w:val="30"/>
        </w:rPr>
        <w:t xml:space="preserve">1  Management Summary</w:t>
      </w:r>
    </w:p>
    <w:p>
      <w:pPr>
        <w:spacing w:after="120" w:line="276"/>
      </w:pPr>
      <w:r>
        <w:rPr>
          <w:rFonts w:ascii="Calibri" w:cs="Calibri" w:eastAsia="Calibri" w:hAnsi="Calibri"/>
          <w:sz w:val="21"/>
          <w:szCs w:val="21"/>
        </w:rPr>
        <w:t xml:space="preserve">Die Auswahl steht zwischen zwei Fachsystemen, die beide den Betrieb eines Self-Storage-Standorts vollständig abbilden. Der Unterschied liegt nicht im Funktionsumfang, sondern in der Frage, wie die Zahlungen künftig fließen und was das für Ihre rund 120 Bestandskunden bedeutet.</w:t>
      </w:r>
    </w:p>
    <w:p>
      <w:pPr>
        <w:pStyle w:val="Heading2"/>
        <w:spacing w:after="140" w:before="260"/>
      </w:pPr>
      <w:r>
        <w:rPr>
          <w:rFonts w:ascii="Calibri" w:cs="Calibri" w:eastAsia="Calibri" w:hAnsi="Calibri"/>
          <w:b/>
          <w:bCs/>
          <w:color w:val="1F3864"/>
          <w:sz w:val="24"/>
          <w:szCs w:val="24"/>
        </w:rPr>
        <w:t xml:space="preserve">Empfehlung</w:t>
      </w:r>
    </w:p>
    <w:p>
      <w:pPr>
        <w:spacing w:after="120" w:line="276"/>
      </w:pPr>
      <w:r>
        <w:rPr>
          <w:rFonts w:ascii="Calibri" w:cs="Calibri" w:eastAsia="Calibri" w:hAnsi="Calibri"/>
          <w:b/>
          <w:bCs/>
          <w:sz w:val="21"/>
          <w:szCs w:val="21"/>
        </w:rPr>
        <w:t xml:space="preserve">Kinnovis ist für deinPlatz der geeignetere Kandidat</w:t>
      </w:r>
      <w:r>
        <w:rPr>
          <w:rFonts w:ascii="Calibri" w:cs="Calibri" w:eastAsia="Calibri" w:hAnsi="Calibri"/>
          <w:sz w:val="21"/>
          <w:szCs w:val="21"/>
        </w:rPr>
        <w:t xml:space="preserve"> – vorbehaltlich der Demos. Ausschlaggebend sind drei Punkte, die alle mit dem Zahlungs- und Buchhaltungsteil zusammenhängen.</w:t>
      </w:r>
    </w:p>
    <w:p>
      <w:pPr>
        <w:pStyle w:val="ListParagraph"/>
        <w:numPr>
          <w:ilvl w:val="0"/>
          <w:numId w:val="2"/>
        </w:numPr>
        <w:spacing w:after="80" w:line="276"/>
      </w:pPr>
      <w:r>
        <w:rPr>
          <w:rFonts w:ascii="Calibri" w:cs="Calibri" w:eastAsia="Calibri" w:hAnsi="Calibri"/>
          <w:sz w:val="21"/>
          <w:szCs w:val="21"/>
        </w:rPr>
        <w:t xml:space="preserve">Kinnovis kann SEPA-Lastschriften als XML-Datei für die eigene Hausbank erzeugen. Damit bleibt deinPlatz selbst Gläubiger, die eigene Gläubiger-ID bleibt in Verwendung und die bestehenden Mandate bleiben unverändert gültig. Stora wickelt Zahlungen ausschließlich über Stripe ab.</w:t>
      </w:r>
    </w:p>
    <w:p>
      <w:pPr>
        <w:pStyle w:val="ListParagraph"/>
        <w:numPr>
          <w:ilvl w:val="0"/>
          <w:numId w:val="2"/>
        </w:numPr>
        <w:spacing w:after="80" w:line="276"/>
      </w:pPr>
      <w:r>
        <w:rPr>
          <w:rFonts w:ascii="Calibri" w:cs="Calibri" w:eastAsia="Calibri" w:hAnsi="Calibri"/>
          <w:sz w:val="21"/>
          <w:szCs w:val="21"/>
        </w:rPr>
        <w:t xml:space="preserve">Kinnovis führt einen DATEV-Report als Integration. RZL kann DATEV-Format im CSV importieren – damit existiert ein realistischer Weg zur wichtigsten Einzelanforderung. Für Stora ist nur Xero und QuickBooks belegt.</w:t>
      </w:r>
    </w:p>
    <w:p>
      <w:pPr>
        <w:pStyle w:val="ListParagraph"/>
        <w:numPr>
          <w:ilvl w:val="0"/>
          <w:numId w:val="2"/>
        </w:numPr>
        <w:spacing w:after="80" w:line="276"/>
      </w:pPr>
      <w:r>
        <w:rPr>
          <w:rFonts w:ascii="Calibri" w:cs="Calibri" w:eastAsia="Calibri" w:hAnsi="Calibri"/>
          <w:sz w:val="21"/>
          <w:szCs w:val="21"/>
        </w:rPr>
        <w:t xml:space="preserve">Kinnovis stammt aus Österreich, hat einen deutschsprachigen Marktauftritt und Kunden im DACH-Raum. Bei Stora ist die Deutschsprachigkeit der Oberfläche und der Kundendokumente bislang nicht belegt.</w:t>
      </w:r>
    </w:p>
    <w:p>
      <w:pPr>
        <w:spacing w:after="80"/>
      </w:pPr>
    </w:p>
    <w:p>
      <w:pPr>
        <w:spacing w:after="120" w:line="276"/>
      </w:pPr>
      <w:r>
        <w:rPr>
          <w:rFonts w:ascii="Calibri" w:cs="Calibri" w:eastAsia="Calibri" w:hAnsi="Calibri"/>
          <w:sz w:val="21"/>
          <w:szCs w:val="21"/>
        </w:rPr>
        <w:t xml:space="preserve">Stora hat dafür die transparenteren Preise, die ausgereiftere Buchungsstrecke und die stärkere Ertragssteuerung. Beide Anbieter sind zur Demo einzuladen; die Entscheidung fällt nach dem Test der Buchhaltungsschnittstelle.</w:t>
      </w:r>
    </w:p>
    <w:p>
      <w:pPr>
        <w:pStyle w:val="Heading2"/>
        <w:spacing w:after="140" w:before="260"/>
      </w:pPr>
      <w:r>
        <w:rPr>
          <w:rFonts w:ascii="Calibri" w:cs="Calibri" w:eastAsia="Calibri" w:hAnsi="Calibri"/>
          <w:b/>
          <w:bCs/>
          <w:color w:val="1F3864"/>
          <w:sz w:val="24"/>
          <w:szCs w:val="24"/>
        </w:rPr>
        <w:t xml:space="preserve">Die wichtigste Korrektur gegenüber der Vorbesprechung</w:t>
      </w:r>
    </w:p>
    <w:p>
      <w:pPr>
        <w:spacing w:after="120" w:line="276"/>
      </w:pPr>
      <w:r>
        <w:rPr>
          <w:rFonts w:ascii="Calibri" w:cs="Calibri" w:eastAsia="Calibri" w:hAnsi="Calibri"/>
          <w:b/>
          <w:bCs/>
          <w:sz w:val="21"/>
          <w:szCs w:val="21"/>
        </w:rPr>
        <w:t xml:space="preserve">Die bestehenden Lastschriftmandate müssen sehr wahrscheinlich nicht neu eingeholt werden.</w:t>
      </w:r>
      <w:r>
        <w:rPr>
          <w:rFonts w:ascii="Calibri" w:cs="Calibri" w:eastAsia="Calibri" w:hAnsi="Calibri"/>
          <w:sz w:val="21"/>
          <w:szCs w:val="21"/>
        </w:rPr>
        <w:t xml:space="preserve"> In der ersten Einschätzung war offen, ob die fehlenden IBAN-Daten im Zoho-Export eine Neueinholung bei allen Kunden erzwingen. Da deinPlatz die Einzüge über das eigene Bankkonto und unter eigener Gläubiger-ID durchführt, ist deinPlatz selbst Gläubiger des Mandats. Ein Wechsel der Software ändert daran nichts. Die IBAN fehlt lediglich im Zoho-Export – vorhanden ist sie in den Mandatsunterlagen und im Electronic Banking.</w:t>
      </w:r>
    </w:p>
    <w:p>
      <w:pPr>
        <w:spacing w:after="120" w:line="276"/>
      </w:pPr>
      <w:r>
        <w:rPr>
          <w:rFonts w:ascii="Calibri" w:cs="Calibri" w:eastAsia="Calibri" w:hAnsi="Calibri"/>
          <w:sz w:val="21"/>
          <w:szCs w:val="21"/>
        </w:rPr>
        <w:t xml:space="preserve">Das reduziert das größte Migrationsrisiko des Projekts erheblich: Aus einer Kundenaktion mit drei bis vier Wochen Vorlauf wird eine Datenbeschaffung aus den eigenen Unterlagen.</w:t>
      </w:r>
    </w:p>
    <w:p>
      <w:pPr>
        <w:pStyle w:val="Heading2"/>
        <w:spacing w:after="140" w:before="260"/>
      </w:pPr>
      <w:r>
        <w:rPr>
          <w:rFonts w:ascii="Calibri" w:cs="Calibri" w:eastAsia="Calibri" w:hAnsi="Calibri"/>
          <w:b/>
          <w:bCs/>
          <w:color w:val="1F3864"/>
          <w:sz w:val="24"/>
          <w:szCs w:val="24"/>
        </w:rPr>
        <w:t xml:space="preserve">Die eigentliche Entscheidung</w:t>
      </w:r>
    </w:p>
    <w:p>
      <w:pPr>
        <w:spacing w:after="120" w:line="276"/>
      </w:pPr>
      <w:r>
        <w:rPr>
          <w:rFonts w:ascii="Calibri" w:cs="Calibri" w:eastAsia="Calibri" w:hAnsi="Calibri"/>
          <w:sz w:val="21"/>
          <w:szCs w:val="21"/>
        </w:rPr>
        <w:t xml:space="preserve">Sie entscheiden nicht nur über eine Software, sondern über das Betriebsmodell der Zahlungsabwicklung. Drei Modelle stehen zur Wahl – eigene Bank, Zahlungsdienstleister oder ein Hybrid aus beidem. Kapitel 4 stellt sie gegenüber; die Empfehlung lautet Hybrid, und dieses Modell setzt den SEPA-XML-Export voraus, den nur Kinnovis belegt anbietet.</w:t>
      </w:r>
    </w:p>
    <w:p>
      <w:pPr>
        <w:pStyle w:val="Heading2"/>
        <w:spacing w:after="140" w:before="260"/>
      </w:pPr>
      <w:r>
        <w:rPr>
          <w:rFonts w:ascii="Calibri" w:cs="Calibri" w:eastAsia="Calibri" w:hAnsi="Calibri"/>
          <w:b/>
          <w:bCs/>
          <w:color w:val="1F3864"/>
          <w:sz w:val="24"/>
          <w:szCs w:val="24"/>
        </w:rPr>
        <w:t xml:space="preserve">Legende der Belegqualität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738"/>
      </w:tblGrid>
      <w:tr>
        <w:trPr>
          <w:tblHeader/>
        </w:trPr>
        <w:tc>
          <w:tcPr>
            <w:tcW w:type="dxa" w:w="19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Kennzeichnung</w:t>
            </w:r>
          </w:p>
        </w:tc>
        <w:tc>
          <w:tcPr>
            <w:tcW w:type="dxa" w:w="77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Bedeutung</w:t>
            </w:r>
          </w:p>
        </w:tc>
      </w:tr>
      <w:tr>
        <w:tc>
          <w:tcPr>
            <w:tcW w:type="dxa" w:w="1900"/>
            <w:tcMar>
              <w:top w:type="dxa" w:w="60"/>
              <w:left w:type="dxa" w:w="100"/>
              <w:bottom w:type="dxa" w:w="60"/>
              <w:right w:type="dxa" w:w="100"/>
            </w:tcMar>
          </w:tcPr>
          <w:p>
            <w:pPr>
              <w:spacing w:after="0" w:line="250"/>
            </w:pPr>
            <w:r>
              <w:rPr>
                <w:rFonts w:ascii="Calibri" w:cs="Calibri" w:eastAsia="Calibri" w:hAnsi="Calibri"/>
                <w:sz w:val="19"/>
                <w:szCs w:val="19"/>
              </w:rPr>
              <w:t xml:space="preserve">belegt</w:t>
            </w:r>
          </w:p>
        </w:tc>
        <w:tc>
          <w:tcPr>
            <w:tcW w:type="dxa" w:w="7738"/>
            <w:tcMar>
              <w:top w:type="dxa" w:w="60"/>
              <w:left w:type="dxa" w:w="100"/>
              <w:bottom w:type="dxa" w:w="60"/>
              <w:right w:type="dxa" w:w="100"/>
            </w:tcMar>
          </w:tcPr>
          <w:p>
            <w:pPr>
              <w:spacing w:after="0" w:line="250"/>
            </w:pPr>
            <w:r>
              <w:rPr>
                <w:rFonts w:ascii="Calibri" w:cs="Calibri" w:eastAsia="Calibri" w:hAnsi="Calibri"/>
                <w:sz w:val="19"/>
                <w:szCs w:val="19"/>
              </w:rPr>
              <w:t xml:space="preserve">Aus öffentlicher Quelle nachweisbar, Quellenverzeichnis in Anhang A</w:t>
            </w:r>
          </w:p>
        </w:tc>
      </w:tr>
      <w:tr>
        <w:tc>
          <w:tcPr>
            <w:tcW w:type="dxa" w:w="1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c>
          <w:tcPr>
            <w:tcW w:type="dxa" w:w="7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Fachlich naheliegend, aber nicht belegt – in der Demo zu prüfen</w:t>
            </w:r>
          </w:p>
        </w:tc>
      </w:tr>
      <w:tr>
        <w:tc>
          <w:tcPr>
            <w:tcW w:type="dxa" w:w="1900"/>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7738"/>
            <w:tcMar>
              <w:top w:type="dxa" w:w="60"/>
              <w:left w:type="dxa" w:w="100"/>
              <w:bottom w:type="dxa" w:w="60"/>
              <w:right w:type="dxa" w:w="100"/>
            </w:tcMar>
          </w:tcPr>
          <w:p>
            <w:pPr>
              <w:spacing w:after="0" w:line="250"/>
            </w:pPr>
            <w:r>
              <w:rPr>
                <w:rFonts w:ascii="Calibri" w:cs="Calibri" w:eastAsia="Calibri" w:hAnsi="Calibri"/>
                <w:sz w:val="19"/>
                <w:szCs w:val="19"/>
              </w:rPr>
              <w:t xml:space="preserve">Muss vom Anbieter beantwortet werden</w:t>
            </w:r>
          </w:p>
        </w:tc>
      </w:tr>
      <w:tr>
        <w:tc>
          <w:tcPr>
            <w:tcW w:type="dxa" w:w="1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nicht vorgesehen</w:t>
            </w:r>
          </w:p>
        </w:tc>
        <w:tc>
          <w:tcPr>
            <w:tcW w:type="dxa" w:w="7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Nach aktuellem Kenntnisstand nicht Teil des Produkts</w:t>
            </w:r>
          </w:p>
        </w:tc>
      </w:tr>
    </w:tbl>
    <w:p>
      <w:pPr>
        <w:spacing w:after="120"/>
      </w:pPr>
    </w:p>
    <w:p>
      <w:pPr>
        <w:spacing w:after="120" w:line="276"/>
      </w:pPr>
      <w:r>
        <w:rPr>
          <w:rFonts w:ascii="Calibri" w:cs="Calibri" w:eastAsia="Calibri" w:hAnsi="Calibri"/>
          <w:b/>
          <w:bCs/>
          <w:sz w:val="21"/>
          <w:szCs w:val="21"/>
        </w:rPr>
        <w:t xml:space="preserve">Einschränkung: </w:t>
      </w:r>
      <w:r>
        <w:rPr>
          <w:rFonts w:ascii="Calibri" w:cs="Calibri" w:eastAsia="Calibri" w:hAnsi="Calibri"/>
          <w:i/>
          <w:iCs/>
          <w:sz w:val="21"/>
          <w:szCs w:val="21"/>
        </w:rPr>
        <w:t xml:space="preserve">Die Websites der beiden Anbieter waren aus der Arbeitsumgebung nicht direkt abrufbar. Die Angaben stammen aus Suchergebnissen, Hilfe-Centern, Vergleichsportalen und Verbandsverzeichnissen. Die Quellen sind in Anhang A zur Nachprüfung verlinkt.</w:t>
      </w:r>
    </w:p>
    <w:p>
      <w:r>
        <w:br w:type="page"/>
      </w:r>
    </w:p>
    <w:p>
      <w:pPr>
        <w:pStyle w:val="Heading1"/>
        <w:spacing w:after="180" w:before="360"/>
      </w:pPr>
      <w:r>
        <w:rPr>
          <w:rFonts w:ascii="Calibri" w:cs="Calibri" w:eastAsia="Calibri" w:hAnsi="Calibri"/>
          <w:b/>
          <w:bCs/>
          <w:color w:val="1F3864"/>
          <w:sz w:val="30"/>
          <w:szCs w:val="30"/>
        </w:rPr>
        <w:t xml:space="preserve">2  Ausgangslage der Zahlungsabwicklung</w:t>
      </w:r>
    </w:p>
    <w:p>
      <w:pPr>
        <w:pStyle w:val="Heading2"/>
        <w:spacing w:after="140" w:before="260"/>
      </w:pPr>
      <w:r>
        <w:rPr>
          <w:rFonts w:ascii="Calibri" w:cs="Calibri" w:eastAsia="Calibri" w:hAnsi="Calibri"/>
          <w:b/>
          <w:bCs/>
          <w:color w:val="1F3864"/>
          <w:sz w:val="24"/>
          <w:szCs w:val="24"/>
        </w:rPr>
        <w:t xml:space="preserve">2.1  Wie heute abgerechnet und kassiert wird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tblHeader/>
        </w:trPr>
        <w:tc>
          <w:tcPr>
            <w:tcW w:type="dxa" w:w="2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Merkmal</w:t>
            </w:r>
          </w:p>
        </w:tc>
        <w:tc>
          <w:tcPr>
            <w:tcW w:type="dxa" w:w="70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Ist-Zustand</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Kernsystem</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Zoho Subscriptions – ein Abo-Abrechnungssystem, kein Self-Storage-System</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Zahlungswege</w:t>
            </w:r>
          </w:p>
        </w:tc>
        <w:tc>
          <w:tcPr>
            <w:tcW w:type="dxa" w:w="7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SEPA-Lastschrift über das eigene Bankkonto sowie Überweisungen</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Gläubiger-ID</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vorhanden, deinPlatz tritt selbst als Gläubiger auf</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Kartenzahlung</w:t>
            </w:r>
          </w:p>
        </w:tc>
        <w:tc>
          <w:tcPr>
            <w:tcW w:type="dxa" w:w="7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derzeit nicht angeboten</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Abgleich der Zahlungen</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überwiegend manuell in Zoho konsolidiert</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Kundenverwaltung</w:t>
            </w:r>
          </w:p>
        </w:tc>
        <w:tc>
          <w:tcPr>
            <w:tcW w:type="dxa" w:w="7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zusätzlich Dateiablage in OneDrive</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Buchhaltung</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Steuerberatung mit RZL</w:t>
            </w:r>
          </w:p>
        </w:tc>
      </w:tr>
    </w:tbl>
    <w:p>
      <w:pPr>
        <w:spacing w:after="120"/>
      </w:pPr>
    </w:p>
    <w:p>
      <w:pPr>
        <w:pStyle w:val="Heading2"/>
        <w:spacing w:after="140" w:before="260"/>
      </w:pPr>
      <w:r>
        <w:rPr>
          <w:rFonts w:ascii="Calibri" w:cs="Calibri" w:eastAsia="Calibri" w:hAnsi="Calibri"/>
          <w:b/>
          <w:bCs/>
          <w:color w:val="1F3864"/>
          <w:sz w:val="24"/>
          <w:szCs w:val="24"/>
        </w:rPr>
        <w:t xml:space="preserve">2.2  Wo der Aufwand entsteht</w:t>
      </w:r>
    </w:p>
    <w:p>
      <w:pPr>
        <w:spacing w:after="120" w:line="276"/>
      </w:pPr>
      <w:r>
        <w:rPr>
          <w:rFonts w:ascii="Calibri" w:cs="Calibri" w:eastAsia="Calibri" w:hAnsi="Calibri"/>
          <w:sz w:val="21"/>
          <w:szCs w:val="21"/>
        </w:rPr>
        <w:t xml:space="preserve">Der manuelle Aufwand liegt nicht beim Einzug, sondern beim Abgleich: Der Einzug wird angestoßen, das Geld kommt an, und anschließend muss von Hand nachvollzogen werden, welche Zahlung zu welcher Rechnung gehört, welcher Einzug zurückgekommen ist und wer noch offen ist. Bei Überweisungen kommt hinzu, dass Verwendungszwecke unvollständig oder falsch sind.</w:t>
      </w:r>
    </w:p>
    <w:p>
      <w:pPr>
        <w:spacing w:after="120" w:line="276"/>
      </w:pPr>
      <w:r>
        <w:rPr>
          <w:rFonts w:ascii="Calibri" w:cs="Calibri" w:eastAsia="Calibri" w:hAnsi="Calibri"/>
          <w:sz w:val="21"/>
          <w:szCs w:val="21"/>
        </w:rPr>
        <w:t xml:space="preserve">Genau dieser Schritt ist der Kern des Automatisierungsauftrags. Er lässt sich auf zwei Wegen automatisieren, und beide Wege sind Gegenstand dieses Reports:</w:t>
      </w:r>
    </w:p>
    <w:p>
      <w:pPr>
        <w:pStyle w:val="ListParagraph"/>
        <w:numPr>
          <w:ilvl w:val="0"/>
          <w:numId w:val="3"/>
        </w:numPr>
        <w:spacing w:after="80" w:line="276"/>
      </w:pPr>
      <w:r>
        <w:rPr>
          <w:rFonts w:ascii="Calibri" w:cs="Calibri" w:eastAsia="Calibri" w:hAnsi="Calibri"/>
          <w:sz w:val="21"/>
          <w:szCs w:val="21"/>
        </w:rPr>
        <w:t xml:space="preserve">Der Zahlungsdienstleister meldet jede Zahlung und jeden Rückläufer direkt in das System zurück – der Abgleich entfällt vollständig.</w:t>
      </w:r>
    </w:p>
    <w:p>
      <w:pPr>
        <w:pStyle w:val="ListParagraph"/>
        <w:numPr>
          <w:ilvl w:val="0"/>
          <w:numId w:val="3"/>
        </w:numPr>
        <w:spacing w:after="80" w:line="276"/>
      </w:pPr>
      <w:r>
        <w:rPr>
          <w:rFonts w:ascii="Calibri" w:cs="Calibri" w:eastAsia="Calibri" w:hAnsi="Calibri"/>
          <w:sz w:val="21"/>
          <w:szCs w:val="21"/>
        </w:rPr>
        <w:t xml:space="preserve">Das System liest den Bankkontoauszug ein und ordnet die Zahlungen automatisch zu – der Abgleich wird zur Kontrolle statt zur Erfassung.</w:t>
      </w:r>
    </w:p>
    <w:p>
      <w:pPr>
        <w:spacing w:after="80"/>
      </w:pPr>
    </w:p>
    <w:p>
      <w:pPr>
        <w:spacing w:after="120" w:line="276"/>
      </w:pPr>
      <w:r>
        <w:rPr>
          <w:rFonts w:ascii="Calibri" w:cs="Calibri" w:eastAsia="Calibri" w:hAnsi="Calibri"/>
          <w:b/>
          <w:bCs/>
          <w:sz w:val="21"/>
          <w:szCs w:val="21"/>
        </w:rPr>
        <w:t xml:space="preserve">Wichtig: </w:t>
      </w:r>
      <w:r>
        <w:rPr>
          <w:rFonts w:ascii="Calibri" w:cs="Calibri" w:eastAsia="Calibri" w:hAnsi="Calibri"/>
          <w:sz w:val="21"/>
          <w:szCs w:val="21"/>
        </w:rPr>
        <w:t xml:space="preserve">Reine Überweisungen bleiben in beiden Systemen der manuelle Rest. Der wirksamste Hebel ist deshalb nicht die Software, sondern die Verlagerung möglichst vieler Bestandskunden auf Lastschrift. Kapitel 6 beschreibt, wie das ohne Reibung gelingt.</w:t>
      </w:r>
    </w:p>
    <w:p>
      <w:pPr>
        <w:pStyle w:val="Heading2"/>
        <w:spacing w:after="140" w:before="260"/>
      </w:pPr>
      <w:r>
        <w:rPr>
          <w:rFonts w:ascii="Calibri" w:cs="Calibri" w:eastAsia="Calibri" w:hAnsi="Calibri"/>
          <w:b/>
          <w:bCs/>
          <w:color w:val="1F3864"/>
          <w:sz w:val="24"/>
          <w:szCs w:val="24"/>
        </w:rPr>
        <w:t xml:space="preserve">2.3  Zielbild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438"/>
      </w:tblGrid>
      <w:tr>
        <w:trPr>
          <w:tblHeader/>
        </w:trPr>
        <w:tc>
          <w:tcPr>
            <w:tcW w:type="dxa" w:w="3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Ziel</w:t>
            </w:r>
          </w:p>
        </w:tc>
        <w:tc>
          <w:tcPr>
            <w:tcW w:type="dxa" w:w="64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Messbar an</w:t>
            </w:r>
          </w:p>
        </w:tc>
      </w:tr>
      <w:tr>
        <w:tc>
          <w:tcPr>
            <w:tcW w:type="dxa" w:w="3200"/>
            <w:tcMar>
              <w:top w:type="dxa" w:w="60"/>
              <w:left w:type="dxa" w:w="100"/>
              <w:bottom w:type="dxa" w:w="60"/>
              <w:right w:type="dxa" w:w="100"/>
            </w:tcMar>
          </w:tcPr>
          <w:p>
            <w:pPr>
              <w:spacing w:after="0" w:line="250"/>
            </w:pPr>
            <w:r>
              <w:rPr>
                <w:rFonts w:ascii="Calibri" w:cs="Calibri" w:eastAsia="Calibri" w:hAnsi="Calibri"/>
                <w:sz w:val="19"/>
                <w:szCs w:val="19"/>
              </w:rPr>
              <w:t xml:space="preserve">Wiederkehrender Einzug läuft automatisch</w:t>
            </w:r>
          </w:p>
        </w:tc>
        <w:tc>
          <w:tcPr>
            <w:tcW w:type="dxa" w:w="6438"/>
            <w:tcMar>
              <w:top w:type="dxa" w:w="60"/>
              <w:left w:type="dxa" w:w="100"/>
              <w:bottom w:type="dxa" w:w="60"/>
              <w:right w:type="dxa" w:w="100"/>
            </w:tcMar>
          </w:tcPr>
          <w:p>
            <w:pPr>
              <w:spacing w:after="0" w:line="250"/>
            </w:pPr>
            <w:r>
              <w:rPr>
                <w:rFonts w:ascii="Calibri" w:cs="Calibri" w:eastAsia="Calibri" w:hAnsi="Calibri"/>
                <w:sz w:val="19"/>
                <w:szCs w:val="19"/>
              </w:rPr>
              <w:t xml:space="preserve">Anteil automatisch eingezogener Mieten mindestens 80 Prozent</w:t>
            </w:r>
          </w:p>
        </w:tc>
      </w:tr>
      <w:tr>
        <w:tc>
          <w:tcPr>
            <w:tcW w:type="dxa" w:w="3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Zahlungsabgleich ohne Handarbeit</w:t>
            </w:r>
          </w:p>
        </w:tc>
        <w:tc>
          <w:tcPr>
            <w:tcW w:type="dxa" w:w="6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Manueller Aufwand für die Monatsabrechnung unter einer Stunde</w:t>
            </w:r>
          </w:p>
        </w:tc>
      </w:tr>
      <w:tr>
        <w:tc>
          <w:tcPr>
            <w:tcW w:type="dxa" w:w="3200"/>
            <w:tcMar>
              <w:top w:type="dxa" w:w="60"/>
              <w:left w:type="dxa" w:w="100"/>
              <w:bottom w:type="dxa" w:w="60"/>
              <w:right w:type="dxa" w:w="100"/>
            </w:tcMar>
          </w:tcPr>
          <w:p>
            <w:pPr>
              <w:spacing w:after="0" w:line="250"/>
            </w:pPr>
            <w:r>
              <w:rPr>
                <w:rFonts w:ascii="Calibri" w:cs="Calibri" w:eastAsia="Calibri" w:hAnsi="Calibri"/>
                <w:sz w:val="19"/>
                <w:szCs w:val="19"/>
              </w:rPr>
              <w:t xml:space="preserve">Rückläufer lösen automatisch das Mahnwesen aus</w:t>
            </w:r>
          </w:p>
        </w:tc>
        <w:tc>
          <w:tcPr>
            <w:tcW w:type="dxa" w:w="6438"/>
            <w:tcMar>
              <w:top w:type="dxa" w:w="60"/>
              <w:left w:type="dxa" w:w="100"/>
              <w:bottom w:type="dxa" w:w="60"/>
              <w:right w:type="dxa" w:w="100"/>
            </w:tcMar>
          </w:tcPr>
          <w:p>
            <w:pPr>
              <w:spacing w:after="0" w:line="250"/>
            </w:pPr>
            <w:r>
              <w:rPr>
                <w:rFonts w:ascii="Calibri" w:cs="Calibri" w:eastAsia="Calibri" w:hAnsi="Calibri"/>
                <w:sz w:val="19"/>
                <w:szCs w:val="19"/>
              </w:rPr>
              <w:t xml:space="preserve">Kein Rückläufer bleibt länger als drei Tage unbearbeitet</w:t>
            </w:r>
          </w:p>
        </w:tc>
      </w:tr>
      <w:tr>
        <w:tc>
          <w:tcPr>
            <w:tcW w:type="dxa" w:w="3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 können Zahlungsart selbst ändern</w:t>
            </w:r>
          </w:p>
        </w:tc>
        <w:tc>
          <w:tcPr>
            <w:tcW w:type="dxa" w:w="6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Änderung ohne Kontakt zum Büro möglich</w:t>
            </w:r>
          </w:p>
        </w:tc>
      </w:tr>
      <w:tr>
        <w:tc>
          <w:tcPr>
            <w:tcW w:type="dxa" w:w="3200"/>
            <w:tcMar>
              <w:top w:type="dxa" w:w="60"/>
              <w:left w:type="dxa" w:w="100"/>
              <w:bottom w:type="dxa" w:w="60"/>
              <w:right w:type="dxa" w:w="100"/>
            </w:tcMar>
          </w:tcPr>
          <w:p>
            <w:pPr>
              <w:spacing w:after="0" w:line="250"/>
            </w:pPr>
            <w:r>
              <w:rPr>
                <w:rFonts w:ascii="Calibri" w:cs="Calibri" w:eastAsia="Calibri" w:hAnsi="Calibri"/>
                <w:sz w:val="19"/>
                <w:szCs w:val="19"/>
              </w:rPr>
              <w:t xml:space="preserve">Kartenzahlung als zusätzliche Option</w:t>
            </w:r>
          </w:p>
        </w:tc>
        <w:tc>
          <w:tcPr>
            <w:tcW w:type="dxa" w:w="6438"/>
            <w:tcMar>
              <w:top w:type="dxa" w:w="60"/>
              <w:left w:type="dxa" w:w="100"/>
              <w:bottom w:type="dxa" w:w="60"/>
              <w:right w:type="dxa" w:w="100"/>
            </w:tcMar>
          </w:tcPr>
          <w:p>
            <w:pPr>
              <w:spacing w:after="0" w:line="250"/>
            </w:pPr>
            <w:r>
              <w:rPr>
                <w:rFonts w:ascii="Calibri" w:cs="Calibri" w:eastAsia="Calibri" w:hAnsi="Calibri"/>
                <w:sz w:val="19"/>
                <w:szCs w:val="19"/>
              </w:rPr>
              <w:t xml:space="preserve">Bei Neubuchungen wählbar</w:t>
            </w:r>
          </w:p>
        </w:tc>
      </w:tr>
      <w:tr>
        <w:tc>
          <w:tcPr>
            <w:tcW w:type="dxa" w:w="3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Übergabe an die Steuerberatung automatisiert</w:t>
            </w:r>
          </w:p>
        </w:tc>
        <w:tc>
          <w:tcPr>
            <w:tcW w:type="dxa" w:w="6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Monatlicher Export ohne Nachbearbeitung in RZL importierbar</w:t>
            </w:r>
          </w:p>
        </w:tc>
      </w:tr>
    </w:tbl>
    <w:p>
      <w:r>
        <w:br w:type="page"/>
      </w:r>
    </w:p>
    <w:p>
      <w:pPr>
        <w:pStyle w:val="Heading1"/>
        <w:spacing w:after="180" w:before="360"/>
      </w:pPr>
      <w:r>
        <w:rPr>
          <w:rFonts w:ascii="Calibri" w:cs="Calibri" w:eastAsia="Calibri" w:hAnsi="Calibri"/>
          <w:b/>
          <w:bCs/>
          <w:color w:val="1F3864"/>
          <w:sz w:val="30"/>
          <w:szCs w:val="30"/>
        </w:rPr>
        <w:t xml:space="preserve">3  Bestehende Mandate und fehlende IBAN – die Sachlage</w:t>
      </w:r>
    </w:p>
    <w:p>
      <w:pPr>
        <w:pStyle w:val="Heading2"/>
        <w:spacing w:after="140" w:before="260"/>
      </w:pPr>
      <w:r>
        <w:rPr>
          <w:rFonts w:ascii="Calibri" w:cs="Calibri" w:eastAsia="Calibri" w:hAnsi="Calibri"/>
          <w:b/>
          <w:bCs/>
          <w:color w:val="1F3864"/>
          <w:sz w:val="24"/>
          <w:szCs w:val="24"/>
        </w:rPr>
        <w:t xml:space="preserve">3.1  Warum die Mandate ihren Wert behalten</w:t>
      </w:r>
    </w:p>
    <w:p>
      <w:pPr>
        <w:spacing w:after="120" w:line="276"/>
      </w:pPr>
      <w:r>
        <w:rPr>
          <w:rFonts w:ascii="Calibri" w:cs="Calibri" w:eastAsia="Calibri" w:hAnsi="Calibri"/>
          <w:sz w:val="21"/>
          <w:szCs w:val="21"/>
        </w:rPr>
        <w:t xml:space="preserve">Ein SEPA-Lastschriftmandat ist eine Vereinbarung zwischen Zahlungspflichtigem und Gläubiger. Identifiziert wird es durch die Kombination aus Gläubiger-ID und Mandatsreferenz. Solange beide unverändert bleiben und der Gläubiger derselbe ist, bleibt das Mandat gültig – unabhängig davon, welche Software die Einzugsdatei erzeugt.</w:t>
      </w:r>
    </w:p>
    <w:p>
      <w:pPr>
        <w:spacing w:after="120" w:line="276"/>
      </w:pPr>
      <w:r>
        <w:rPr>
          <w:rFonts w:ascii="Calibri" w:cs="Calibri" w:eastAsia="Calibri" w:hAnsi="Calibri"/>
          <w:sz w:val="21"/>
          <w:szCs w:val="21"/>
        </w:rPr>
        <w:t xml:space="preserve">Für deinPlatz heißt das: Die Mandate gehören deinPlatz, nicht Zoho. Ein Softwarewechsel berührt sie nicht, solange die Einzüge weiterhin unter derselben Gläubiger-ID erfolgen.</w:t>
      </w:r>
    </w:p>
    <w:p>
      <w:pPr>
        <w:spacing w:after="120" w:line="276"/>
      </w:pPr>
      <w:r>
        <w:rPr>
          <w:rFonts w:ascii="Calibri" w:cs="Calibri" w:eastAsia="Calibri" w:hAnsi="Calibri"/>
          <w:b/>
          <w:bCs/>
          <w:sz w:val="21"/>
          <w:szCs w:val="21"/>
        </w:rPr>
        <w:t xml:space="preserve">Zu beachten: </w:t>
      </w:r>
      <w:r>
        <w:rPr>
          <w:rFonts w:ascii="Calibri" w:cs="Calibri" w:eastAsia="Calibri" w:hAnsi="Calibri"/>
          <w:sz w:val="21"/>
          <w:szCs w:val="21"/>
        </w:rPr>
        <w:t xml:space="preserve">Ein Mandat verfällt, wenn 36 Monate lang kein Einzug darauf erfolgt ist (belegt). Bei laufenden Mietverhältnissen mit monatlichem Einzug ist das kein Thema, wohl aber bei ruhenden oder unterbrochenen Verträgen – diese Fälle sind vor dem Cutover zu identifizieren.</w:t>
      </w:r>
    </w:p>
    <w:p>
      <w:pPr>
        <w:pStyle w:val="Heading2"/>
        <w:spacing w:after="140" w:before="260"/>
      </w:pPr>
      <w:r>
        <w:rPr>
          <w:rFonts w:ascii="Calibri" w:cs="Calibri" w:eastAsia="Calibri" w:hAnsi="Calibri"/>
          <w:b/>
          <w:bCs/>
          <w:color w:val="1F3864"/>
          <w:sz w:val="24"/>
          <w:szCs w:val="24"/>
        </w:rPr>
        <w:t xml:space="preserve">3.2  Was tatsächlich fehlt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300"/>
        <w:gridCol w:w="3338"/>
      </w:tblGrid>
      <w:tr>
        <w:trPr>
          <w:tblHeader/>
        </w:trPr>
        <w:tc>
          <w:tcPr>
            <w:tcW w:type="dxa" w:w="30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Datum</w:t>
            </w:r>
          </w:p>
        </w:tc>
        <w:tc>
          <w:tcPr>
            <w:tcW w:type="dxa" w:w="33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In Zoho</w:t>
            </w:r>
          </w:p>
        </w:tc>
        <w:tc>
          <w:tcPr>
            <w:tcW w:type="dxa" w:w="33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Tatsächlich vorhanden</w:t>
            </w:r>
          </w:p>
        </w:tc>
      </w:tr>
      <w:tr>
        <w:tc>
          <w:tcPr>
            <w:tcW w:type="dxa" w:w="3000"/>
            <w:tcMar>
              <w:top w:type="dxa" w:w="60"/>
              <w:left w:type="dxa" w:w="100"/>
              <w:bottom w:type="dxa" w:w="60"/>
              <w:right w:type="dxa" w:w="100"/>
            </w:tcMar>
          </w:tcPr>
          <w:p>
            <w:pPr>
              <w:spacing w:after="0" w:line="250"/>
            </w:pPr>
            <w:r>
              <w:rPr>
                <w:rFonts w:ascii="Calibri" w:cs="Calibri" w:eastAsia="Calibri" w:hAnsi="Calibri"/>
                <w:sz w:val="19"/>
                <w:szCs w:val="19"/>
              </w:rPr>
              <w:t xml:space="preserve">IBAN</w:t>
            </w:r>
          </w:p>
        </w:tc>
        <w:tc>
          <w:tcPr>
            <w:tcW w:type="dxa" w:w="3300"/>
            <w:tcMar>
              <w:top w:type="dxa" w:w="60"/>
              <w:left w:type="dxa" w:w="100"/>
              <w:bottom w:type="dxa" w:w="60"/>
              <w:right w:type="dxa" w:w="100"/>
            </w:tcMar>
          </w:tcPr>
          <w:p>
            <w:pPr>
              <w:spacing w:after="0" w:line="250"/>
            </w:pPr>
            <w:r>
              <w:rPr>
                <w:rFonts w:ascii="Calibri" w:cs="Calibri" w:eastAsia="Calibri" w:hAnsi="Calibri"/>
                <w:sz w:val="19"/>
                <w:szCs w:val="19"/>
              </w:rPr>
              <w:t xml:space="preserve">nicht im Export enthalten</w:t>
            </w:r>
          </w:p>
        </w:tc>
        <w:tc>
          <w:tcPr>
            <w:tcW w:type="dxa" w:w="3338"/>
            <w:tcMar>
              <w:top w:type="dxa" w:w="60"/>
              <w:left w:type="dxa" w:w="100"/>
              <w:bottom w:type="dxa" w:w="60"/>
              <w:right w:type="dxa" w:w="100"/>
            </w:tcMar>
          </w:tcPr>
          <w:p>
            <w:pPr>
              <w:spacing w:after="0" w:line="250"/>
            </w:pPr>
            <w:r>
              <w:rPr>
                <w:rFonts w:ascii="Calibri" w:cs="Calibri" w:eastAsia="Calibri" w:hAnsi="Calibri"/>
                <w:sz w:val="19"/>
                <w:szCs w:val="19"/>
              </w:rPr>
              <w:t xml:space="preserve">in den Mandatsunterlagen und im Electronic Banking der Hausbank</w:t>
            </w:r>
          </w:p>
        </w:tc>
      </w:tr>
      <w:tr>
        <w:tc>
          <w:tcPr>
            <w:tcW w:type="dxa" w:w="3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Mandatsreferenz</w:t>
            </w:r>
          </w:p>
        </w:tc>
        <w:tc>
          <w:tcPr>
            <w:tcW w:type="dxa" w:w="33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möglicherweise nur intern</w:t>
            </w:r>
          </w:p>
        </w:tc>
        <w:tc>
          <w:tcPr>
            <w:tcW w:type="dxa" w:w="33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in den Einzugsdateien und Kontoauszügen der Bank</w:t>
            </w:r>
          </w:p>
        </w:tc>
      </w:tr>
      <w:tr>
        <w:tc>
          <w:tcPr>
            <w:tcW w:type="dxa" w:w="3000"/>
            <w:tcMar>
              <w:top w:type="dxa" w:w="60"/>
              <w:left w:type="dxa" w:w="100"/>
              <w:bottom w:type="dxa" w:w="60"/>
              <w:right w:type="dxa" w:w="100"/>
            </w:tcMar>
          </w:tcPr>
          <w:p>
            <w:pPr>
              <w:spacing w:after="0" w:line="250"/>
            </w:pPr>
            <w:r>
              <w:rPr>
                <w:rFonts w:ascii="Calibri" w:cs="Calibri" w:eastAsia="Calibri" w:hAnsi="Calibri"/>
                <w:sz w:val="19"/>
                <w:szCs w:val="19"/>
              </w:rPr>
              <w:t xml:space="preserve">Datum der Mandatserteilung</w:t>
            </w:r>
          </w:p>
        </w:tc>
        <w:tc>
          <w:tcPr>
            <w:tcW w:type="dxa" w:w="3300"/>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3338"/>
            <w:tcMar>
              <w:top w:type="dxa" w:w="60"/>
              <w:left w:type="dxa" w:w="100"/>
              <w:bottom w:type="dxa" w:w="60"/>
              <w:right w:type="dxa" w:w="100"/>
            </w:tcMar>
          </w:tcPr>
          <w:p>
            <w:pPr>
              <w:spacing w:after="0" w:line="250"/>
            </w:pPr>
            <w:r>
              <w:rPr>
                <w:rFonts w:ascii="Calibri" w:cs="Calibri" w:eastAsia="Calibri" w:hAnsi="Calibri"/>
                <w:sz w:val="19"/>
                <w:szCs w:val="19"/>
              </w:rPr>
              <w:t xml:space="preserve">auf dem unterschriebenen Mandat</w:t>
            </w:r>
          </w:p>
        </w:tc>
      </w:tr>
      <w:tr>
        <w:tc>
          <w:tcPr>
            <w:tcW w:type="dxa" w:w="3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Gläubiger-ID</w:t>
            </w:r>
          </w:p>
        </w:tc>
        <w:tc>
          <w:tcPr>
            <w:tcW w:type="dxa" w:w="33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nicht relevant für den Export</w:t>
            </w:r>
          </w:p>
        </w:tc>
        <w:tc>
          <w:tcPr>
            <w:tcW w:type="dxa" w:w="33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bei deinPlatz vorhanden</w:t>
            </w:r>
          </w:p>
        </w:tc>
      </w:tr>
      <w:tr>
        <w:tc>
          <w:tcPr>
            <w:tcW w:type="dxa" w:w="3000"/>
            <w:tcMar>
              <w:top w:type="dxa" w:w="60"/>
              <w:left w:type="dxa" w:w="100"/>
              <w:bottom w:type="dxa" w:w="60"/>
              <w:right w:type="dxa" w:w="100"/>
            </w:tcMar>
          </w:tcPr>
          <w:p>
            <w:pPr>
              <w:spacing w:after="0" w:line="250"/>
            </w:pPr>
            <w:r>
              <w:rPr>
                <w:rFonts w:ascii="Calibri" w:cs="Calibri" w:eastAsia="Calibri" w:hAnsi="Calibri"/>
                <w:sz w:val="19"/>
                <w:szCs w:val="19"/>
              </w:rPr>
              <w:t xml:space="preserve">Zuordnung Kunde zu Lagerabteil</w:t>
            </w:r>
          </w:p>
        </w:tc>
        <w:tc>
          <w:tcPr>
            <w:tcW w:type="dxa" w:w="3300"/>
            <w:tcMar>
              <w:top w:type="dxa" w:w="60"/>
              <w:left w:type="dxa" w:w="100"/>
              <w:bottom w:type="dxa" w:w="60"/>
              <w:right w:type="dxa" w:w="100"/>
            </w:tcMar>
          </w:tcPr>
          <w:p>
            <w:pPr>
              <w:spacing w:after="0" w:line="250"/>
            </w:pPr>
            <w:r>
              <w:rPr>
                <w:rFonts w:ascii="Calibri" w:cs="Calibri" w:eastAsia="Calibri" w:hAnsi="Calibri"/>
                <w:sz w:val="19"/>
                <w:szCs w:val="19"/>
              </w:rPr>
              <w:t xml:space="preserve">vermutlich nicht strukturiert</w:t>
            </w:r>
          </w:p>
        </w:tc>
        <w:tc>
          <w:tcPr>
            <w:tcW w:type="dxa" w:w="3338"/>
            <w:tcMar>
              <w:top w:type="dxa" w:w="60"/>
              <w:left w:type="dxa" w:w="100"/>
              <w:bottom w:type="dxa" w:w="60"/>
              <w:right w:type="dxa" w:w="100"/>
            </w:tcMar>
          </w:tcPr>
          <w:p>
            <w:pPr>
              <w:spacing w:after="0" w:line="250"/>
            </w:pPr>
            <w:r>
              <w:rPr>
                <w:rFonts w:ascii="Calibri" w:cs="Calibri" w:eastAsia="Calibri" w:hAnsi="Calibri"/>
                <w:sz w:val="19"/>
                <w:szCs w:val="19"/>
              </w:rPr>
              <w:t xml:space="preserve">in der OneDrive-Liste, vor Ort zu verifizieren</w:t>
            </w:r>
          </w:p>
        </w:tc>
      </w:tr>
    </w:tbl>
    <w:p>
      <w:pPr>
        <w:spacing w:after="120"/>
      </w:pPr>
    </w:p>
    <w:p>
      <w:pPr>
        <w:spacing w:after="120" w:line="276"/>
      </w:pPr>
      <w:r>
        <w:rPr>
          <w:rFonts w:ascii="Calibri" w:cs="Calibri" w:eastAsia="Calibri" w:hAnsi="Calibri"/>
          <w:sz w:val="21"/>
          <w:szCs w:val="21"/>
        </w:rPr>
        <w:t xml:space="preserve">Die Aufgabe lautet damit nicht Neueinholung, sondern Rekonstruktion: Aus den Unterlagen der eigenen Bank und den Mandatsordnern wird eine vollständige Liste je aktivem Vertrag aufgebaut. Diese Liste ist die Grundlage jeder der drei Betriebsvarianten.</w:t>
      </w:r>
    </w:p>
    <w:p>
      <w:pPr>
        <w:pStyle w:val="Heading2"/>
        <w:spacing w:after="140" w:before="260"/>
      </w:pPr>
      <w:r>
        <w:rPr>
          <w:rFonts w:ascii="Calibri" w:cs="Calibri" w:eastAsia="Calibri" w:hAnsi="Calibri"/>
          <w:b/>
          <w:bCs/>
          <w:color w:val="1F3864"/>
          <w:sz w:val="24"/>
          <w:szCs w:val="24"/>
        </w:rPr>
        <w:t xml:space="preserve">3.3  Aufgaben in Woche 1</w:t>
      </w:r>
    </w:p>
    <w:p>
      <w:pPr>
        <w:pStyle w:val="ListParagraph"/>
        <w:numPr>
          <w:ilvl w:val="0"/>
          <w:numId w:val="2"/>
        </w:numPr>
        <w:spacing w:after="80" w:line="276"/>
      </w:pPr>
      <w:r>
        <w:rPr>
          <w:rFonts w:ascii="Calibri" w:cs="Calibri" w:eastAsia="Calibri" w:hAnsi="Calibri"/>
          <w:sz w:val="21"/>
          <w:szCs w:val="21"/>
        </w:rPr>
        <w:t xml:space="preserve">Vollständige Mandatsliste erstellen: Kunde, IBAN, Mandatsreferenz, Datum der Erteilung, letzter erfolgreicher Einzug.</w:t>
      </w:r>
    </w:p>
    <w:p>
      <w:pPr>
        <w:pStyle w:val="ListParagraph"/>
        <w:numPr>
          <w:ilvl w:val="0"/>
          <w:numId w:val="2"/>
        </w:numPr>
        <w:spacing w:after="80" w:line="276"/>
      </w:pPr>
      <w:r>
        <w:rPr>
          <w:rFonts w:ascii="Calibri" w:cs="Calibri" w:eastAsia="Calibri" w:hAnsi="Calibri"/>
          <w:sz w:val="21"/>
          <w:szCs w:val="21"/>
        </w:rPr>
        <w:t xml:space="preserve">Gläubiger-ID dokumentieren und prüfen, ob mehrere im Einsatz sind.</w:t>
      </w:r>
    </w:p>
    <w:p>
      <w:pPr>
        <w:pStyle w:val="ListParagraph"/>
        <w:numPr>
          <w:ilvl w:val="0"/>
          <w:numId w:val="2"/>
        </w:numPr>
        <w:spacing w:after="80" w:line="276"/>
      </w:pPr>
      <w:r>
        <w:rPr>
          <w:rFonts w:ascii="Calibri" w:cs="Calibri" w:eastAsia="Calibri" w:hAnsi="Calibri"/>
          <w:sz w:val="21"/>
          <w:szCs w:val="21"/>
        </w:rPr>
        <w:t xml:space="preserve">Verträge ohne gültiges Mandat identifizieren – hier ist tatsächlich eine Neueinholung erforderlich.</w:t>
      </w:r>
    </w:p>
    <w:p>
      <w:pPr>
        <w:pStyle w:val="ListParagraph"/>
        <w:numPr>
          <w:ilvl w:val="0"/>
          <w:numId w:val="2"/>
        </w:numPr>
        <w:spacing w:after="80" w:line="276"/>
      </w:pPr>
      <w:r>
        <w:rPr>
          <w:rFonts w:ascii="Calibri" w:cs="Calibri" w:eastAsia="Calibri" w:hAnsi="Calibri"/>
          <w:sz w:val="21"/>
          <w:szCs w:val="21"/>
        </w:rPr>
        <w:t xml:space="preserve">Verträge mit reiner Überweisung auflisten – Zielgruppe für die Umstellungsaktion.</w:t>
      </w:r>
    </w:p>
    <w:p>
      <w:pPr>
        <w:pStyle w:val="ListParagraph"/>
        <w:numPr>
          <w:ilvl w:val="0"/>
          <w:numId w:val="2"/>
        </w:numPr>
        <w:spacing w:after="80" w:line="276"/>
      </w:pPr>
      <w:r>
        <w:rPr>
          <w:rFonts w:ascii="Calibri" w:cs="Calibri" w:eastAsia="Calibri" w:hAnsi="Calibri"/>
          <w:sz w:val="21"/>
          <w:szCs w:val="21"/>
        </w:rPr>
        <w:t xml:space="preserve">Prüfen, wann der letzte Einzug je Mandat erfolgt ist, um die 36-Monats-Frist auszuschließen.</w:t>
      </w:r>
    </w:p>
    <w:p>
      <w:r>
        <w:br w:type="page"/>
      </w:r>
    </w:p>
    <w:p>
      <w:pPr>
        <w:pStyle w:val="Heading1"/>
        <w:spacing w:after="180" w:before="360"/>
      </w:pPr>
      <w:r>
        <w:rPr>
          <w:rFonts w:ascii="Calibri" w:cs="Calibri" w:eastAsia="Calibri" w:hAnsi="Calibri"/>
          <w:b/>
          <w:bCs/>
          <w:color w:val="1F3864"/>
          <w:sz w:val="30"/>
          <w:szCs w:val="30"/>
        </w:rPr>
        <w:t xml:space="preserve">4  Drei Betriebsmodelle der Zahlungsabwicklung</w:t>
      </w:r>
    </w:p>
    <w:p>
      <w:pPr>
        <w:spacing w:after="120" w:line="276"/>
      </w:pPr>
      <w:r>
        <w:rPr>
          <w:rFonts w:ascii="Calibri" w:cs="Calibri" w:eastAsia="Calibri" w:hAnsi="Calibri"/>
          <w:sz w:val="21"/>
          <w:szCs w:val="21"/>
        </w:rPr>
        <w:t xml:space="preserve">Die Modelle unterscheiden sich darin, wer den Einzug durchführt und wo der Abgleich stattfindet. Sie sind unabhängig von der Systemauswahl gedacht, aber nicht jedes Modell ist mit jedem System möglich.</w:t>
      </w:r>
    </w:p>
    <w:p>
      <w:pPr>
        <w:pStyle w:val="Heading2"/>
        <w:spacing w:after="140" w:before="260"/>
      </w:pPr>
      <w:r>
        <w:rPr>
          <w:rFonts w:ascii="Calibri" w:cs="Calibri" w:eastAsia="Calibri" w:hAnsi="Calibri"/>
          <w:b/>
          <w:bCs/>
          <w:color w:val="1F3864"/>
          <w:sz w:val="24"/>
          <w:szCs w:val="24"/>
        </w:rPr>
        <w:t xml:space="preserve">4.1  Modell A – Einzug über die eigene Hausbank</w:t>
      </w:r>
    </w:p>
    <w:p>
      <w:pPr>
        <w:spacing w:after="120" w:line="276"/>
      </w:pPr>
      <w:r>
        <w:rPr>
          <w:rFonts w:ascii="Calibri" w:cs="Calibri" w:eastAsia="Calibri" w:hAnsi="Calibri"/>
          <w:sz w:val="21"/>
          <w:szCs w:val="21"/>
        </w:rPr>
        <w:t xml:space="preserve">Das System erzeugt die SEPA-Einzugsdatei, diese wird ins Electronic Banking hochgeladen, die Bank zieht ein. Rückläufer erscheinen auf dem Kontoauszug. Der Abgleich erfolgt über den Kontoauszug oder manuell.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700"/>
        <w:gridCol w:w="3738"/>
      </w:tblGrid>
      <w:tr>
        <w:trPr>
          <w:tblHeader/>
        </w:trPr>
        <w:tc>
          <w:tcPr>
            <w:tcW w:type="dxa" w:w="2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Aspekt</w:t>
            </w:r>
          </w:p>
        </w:tc>
        <w:tc>
          <w:tcPr>
            <w:tcW w:type="dxa" w:w="37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Vorteil</w:t>
            </w:r>
          </w:p>
        </w:tc>
        <w:tc>
          <w:tcPr>
            <w:tcW w:type="dxa" w:w="37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Nachteil</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Kosten</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nur Bankentgelte, keine Prozentsätze</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Mandate</w:t>
            </w:r>
          </w:p>
        </w:tc>
        <w:tc>
          <w:tcPr>
            <w:tcW w:type="dxa" w:w="3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bleiben unverändert gültig, keine Kundenaktion</w:t>
            </w:r>
          </w:p>
        </w:tc>
        <w:tc>
          <w:tcPr>
            <w:tcW w:type="dxa" w:w="3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Automatisierung</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Einzug automatisiert</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Rückmeldung an das System nicht automatisch, sofern kein Kontoauszugsimport besteht</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Kundenkomfort</w:t>
            </w:r>
          </w:p>
        </w:tc>
        <w:tc>
          <w:tcPr>
            <w:tcW w:type="dxa" w:w="3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vertraut</w:t>
            </w:r>
          </w:p>
        </w:tc>
        <w:tc>
          <w:tcPr>
            <w:tcW w:type="dxa" w:w="3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keine Kartenzahlung, keine Änderung durch den Kunden</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Verfügbar bei</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Kinnovis (SEPA-XML-Export, belegt)</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Stora: nicht vorgesehen</w:t>
            </w:r>
          </w:p>
        </w:tc>
      </w:tr>
    </w:tbl>
    <w:p>
      <w:pPr>
        <w:spacing w:after="140"/>
      </w:pPr>
    </w:p>
    <w:p>
      <w:pPr>
        <w:pStyle w:val="Heading2"/>
        <w:spacing w:after="140" w:before="260"/>
      </w:pPr>
      <w:r>
        <w:rPr>
          <w:rFonts w:ascii="Calibri" w:cs="Calibri" w:eastAsia="Calibri" w:hAnsi="Calibri"/>
          <w:b/>
          <w:bCs/>
          <w:color w:val="1F3864"/>
          <w:sz w:val="24"/>
          <w:szCs w:val="24"/>
        </w:rPr>
        <w:t xml:space="preserve">4.2  Modell B – Einzug über einen Zahlungsdienstleister (Stripe)</w:t>
      </w:r>
    </w:p>
    <w:p>
      <w:pPr>
        <w:spacing w:after="120" w:line="276"/>
      </w:pPr>
      <w:r>
        <w:rPr>
          <w:rFonts w:ascii="Calibri" w:cs="Calibri" w:eastAsia="Calibri" w:hAnsi="Calibri"/>
          <w:sz w:val="21"/>
          <w:szCs w:val="21"/>
        </w:rPr>
        <w:t xml:space="preserve">Stripe zieht ein, meldet Erfolg und Rückläufer unmittelbar in das System zurück und stellt Kartenzahlung, Apple Pay und Google Pay bereit. Der Abgleich entfällt, weil Zahlung und Rechnung im System verbunden bleiben.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700"/>
        <w:gridCol w:w="3738"/>
      </w:tblGrid>
      <w:tr>
        <w:trPr>
          <w:tblHeader/>
        </w:trPr>
        <w:tc>
          <w:tcPr>
            <w:tcW w:type="dxa" w:w="2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Aspekt</w:t>
            </w:r>
          </w:p>
        </w:tc>
        <w:tc>
          <w:tcPr>
            <w:tcW w:type="dxa" w:w="37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Vorteil</w:t>
            </w:r>
          </w:p>
        </w:tc>
        <w:tc>
          <w:tcPr>
            <w:tcW w:type="dxa" w:w="37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Nachteil</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Kosten</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keine Grundgebühr</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0,35 Euro je SEPA-Einzug, 1,5 Prozent plus 0,25 Euro je europäischer Karte (belegt)</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Mandate</w:t>
            </w:r>
          </w:p>
        </w:tc>
        <w:tc>
          <w:tcPr>
            <w:tcW w:type="dxa" w:w="3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eigene Gläubiger-ID in Stripe verwendbar, Bestandsmandate portierbar (belegt)</w:t>
            </w:r>
          </w:p>
        </w:tc>
        <w:tc>
          <w:tcPr>
            <w:tcW w:type="dxa" w:w="3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Entscheidung über die Gläubiger-ID muss vor der ersten Live-Zahlung fallen und ist danach nicht mehr änderbar (belegt)</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Automatisierung</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vollständig: Zahlung, Rückläufer, Mahnstufe, Kundenportal</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w:t>
            </w:r>
          </w:p>
        </w:tc>
      </w:tr>
      <w:tr>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Buchhaltung</w:t>
            </w:r>
          </w:p>
        </w:tc>
        <w:tc>
          <w:tcPr>
            <w:tcW w:type="dxa" w:w="3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saubere Daten im System</w:t>
            </w:r>
          </w:p>
        </w:tc>
        <w:tc>
          <w:tcPr>
            <w:tcW w:type="dxa" w:w="37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Auszahlungen kommen als Sammelbetrag auf dem Bankkonto an und müssen für RZL aufgelöst werden</w:t>
            </w:r>
          </w:p>
        </w:tc>
      </w:tr>
      <w:tr>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Verfügbar bei</w:t>
            </w:r>
          </w:p>
        </w:tc>
        <w:tc>
          <w:tcPr>
            <w:tcW w:type="dxa" w:w="3700"/>
            <w:tcMar>
              <w:top w:type="dxa" w:w="60"/>
              <w:left w:type="dxa" w:w="100"/>
              <w:bottom w:type="dxa" w:w="60"/>
              <w:right w:type="dxa" w:w="100"/>
            </w:tcMar>
          </w:tcPr>
          <w:p>
            <w:pPr>
              <w:spacing w:after="0" w:line="250"/>
            </w:pPr>
            <w:r>
              <w:rPr>
                <w:rFonts w:ascii="Calibri" w:cs="Calibri" w:eastAsia="Calibri" w:hAnsi="Calibri"/>
                <w:sz w:val="19"/>
                <w:szCs w:val="19"/>
              </w:rPr>
              <w:t xml:space="preserve">Kinnovis und Stora</w:t>
            </w:r>
          </w:p>
        </w:tc>
        <w:tc>
          <w:tcPr>
            <w:tcW w:type="dxa" w:w="3738"/>
            <w:tcMar>
              <w:top w:type="dxa" w:w="60"/>
              <w:left w:type="dxa" w:w="100"/>
              <w:bottom w:type="dxa" w:w="60"/>
              <w:right w:type="dxa" w:w="100"/>
            </w:tcMar>
          </w:tcPr>
          <w:p>
            <w:pPr>
              <w:spacing w:after="0" w:line="250"/>
            </w:pPr>
            <w:r>
              <w:rPr>
                <w:rFonts w:ascii="Calibri" w:cs="Calibri" w:eastAsia="Calibri" w:hAnsi="Calibri"/>
                <w:sz w:val="19"/>
                <w:szCs w:val="19"/>
              </w:rPr>
              <w:t xml:space="preserve">–</w:t>
            </w:r>
          </w:p>
        </w:tc>
      </w:tr>
    </w:tbl>
    <w:p>
      <w:pPr>
        <w:spacing w:after="140"/>
      </w:pPr>
    </w:p>
    <w:p>
      <w:pPr>
        <w:pStyle w:val="Heading2"/>
        <w:spacing w:after="140" w:before="260"/>
      </w:pPr>
      <w:r>
        <w:rPr>
          <w:rFonts w:ascii="Calibri" w:cs="Calibri" w:eastAsia="Calibri" w:hAnsi="Calibri"/>
          <w:b/>
          <w:bCs/>
          <w:color w:val="1F3864"/>
          <w:sz w:val="24"/>
          <w:szCs w:val="24"/>
        </w:rPr>
        <w:t xml:space="preserve">4.3  Modell C – Hybrid (Empfehlung)</w:t>
      </w:r>
    </w:p>
    <w:p>
      <w:pPr>
        <w:spacing w:after="120" w:line="276"/>
      </w:pPr>
      <w:r>
        <w:rPr>
          <w:rFonts w:ascii="Calibri" w:cs="Calibri" w:eastAsia="Calibri" w:hAnsi="Calibri"/>
          <w:sz w:val="21"/>
          <w:szCs w:val="21"/>
        </w:rPr>
        <w:t xml:space="preserve">Der Bestand wird zunächst unverändert über die Hausbank eingezogen. Neuverträge und alle Online-Buchungen laufen über Stripe, ebenso alle Kunden, die auf Kartenzahlung wechseln möchten. Der Anteil der automatisierten Fälle wächst damit von selbst, ohne dass zum Umstellungszeitpunkt eine Aktion bei allen Bestandskunden nötig ist.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tblHeader/>
        </w:trPr>
        <w:tc>
          <w:tcPr>
            <w:tcW w:type="dxa" w:w="2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Eigenschaft</w:t>
            </w:r>
          </w:p>
        </w:tc>
        <w:tc>
          <w:tcPr>
            <w:tcW w:type="dxa" w:w="70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Wirkung</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Migrationsrisiko</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minimal – am Cutover ändert sich für Bestandskunden nichts</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Automatisierungsgrad</w:t>
            </w:r>
          </w:p>
        </w:tc>
        <w:tc>
          <w:tcPr>
            <w:tcW w:type="dxa" w:w="7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steigt schrittweise mit jedem Neuvertrag und jedem Wechsler</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Kosten</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niedrig, weil der Bestand ohne Transaktionsentgelt eingezogen wird</w:t>
            </w:r>
          </w:p>
        </w:tc>
      </w:tr>
      <w:tr>
        <w:tc>
          <w:tcPr>
            <w:tcW w:type="dxa" w:w="2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Voraussetzung</w:t>
            </w:r>
          </w:p>
        </w:tc>
        <w:tc>
          <w:tcPr>
            <w:tcW w:type="dxa" w:w="7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das System muss beide Wege parallel beherrschen – belegt nur bei Kinnovis</w:t>
            </w:r>
          </w:p>
        </w:tc>
      </w:tr>
      <w:tr>
        <w:tc>
          <w:tcPr>
            <w:tcW w:type="dxa" w:w="2600"/>
            <w:tcMar>
              <w:top w:type="dxa" w:w="60"/>
              <w:left w:type="dxa" w:w="100"/>
              <w:bottom w:type="dxa" w:w="60"/>
              <w:right w:type="dxa" w:w="100"/>
            </w:tcMar>
          </w:tcPr>
          <w:p>
            <w:pPr>
              <w:spacing w:after="0" w:line="250"/>
            </w:pPr>
            <w:r>
              <w:rPr>
                <w:rFonts w:ascii="Calibri" w:cs="Calibri" w:eastAsia="Calibri" w:hAnsi="Calibri"/>
                <w:sz w:val="19"/>
                <w:szCs w:val="19"/>
              </w:rPr>
              <w:t xml:space="preserve">Spätere Option</w:t>
            </w:r>
          </w:p>
        </w:tc>
        <w:tc>
          <w:tcPr>
            <w:tcW w:type="dxa" w:w="7038"/>
            <w:tcMar>
              <w:top w:type="dxa" w:w="60"/>
              <w:left w:type="dxa" w:w="100"/>
              <w:bottom w:type="dxa" w:w="60"/>
              <w:right w:type="dxa" w:w="100"/>
            </w:tcMar>
          </w:tcPr>
          <w:p>
            <w:pPr>
              <w:spacing w:after="0" w:line="250"/>
            </w:pPr>
            <w:r>
              <w:rPr>
                <w:rFonts w:ascii="Calibri" w:cs="Calibri" w:eastAsia="Calibri" w:hAnsi="Calibri"/>
                <w:sz w:val="19"/>
                <w:szCs w:val="19"/>
              </w:rPr>
              <w:t xml:space="preserve">vollständiger Wechsel auf Modell B, wenn der Komfortgewinn überwiegt</w:t>
            </w:r>
          </w:p>
        </w:tc>
      </w:tr>
    </w:tbl>
    <w:p>
      <w:pPr>
        <w:spacing w:after="140"/>
      </w:pPr>
    </w:p>
    <w:p>
      <w:pPr>
        <w:spacing w:after="120" w:line="276"/>
      </w:pPr>
      <w:r>
        <w:rPr>
          <w:rFonts w:ascii="Calibri" w:cs="Calibri" w:eastAsia="Calibri" w:hAnsi="Calibri"/>
          <w:b/>
          <w:bCs/>
          <w:sz w:val="21"/>
          <w:szCs w:val="21"/>
        </w:rPr>
        <w:t xml:space="preserve">Konsequenz für die Systemauswahl: </w:t>
      </w:r>
      <w:r>
        <w:rPr>
          <w:rFonts w:ascii="Calibri" w:cs="Calibri" w:eastAsia="Calibri" w:hAnsi="Calibri"/>
          <w:sz w:val="21"/>
          <w:szCs w:val="21"/>
        </w:rPr>
        <w:t xml:space="preserve">Wer Modell A oder C will, braucht den SEPA-XML-Export. Nach derzeitigem Kenntnisstand bietet ihn nur Kinnovis. Mit Stora ist praktisch nur Modell B möglich – das ist kein Ausschlussgrund, bedeutet aber eine Umstellung aller Bestandskunden auf Stripe zum Go-Live.</w:t>
      </w:r>
    </w:p>
    <w:p>
      <w:r>
        <w:br w:type="page"/>
      </w:r>
    </w:p>
    <w:p>
      <w:pPr>
        <w:pStyle w:val="Heading1"/>
        <w:spacing w:after="180" w:before="360"/>
      </w:pPr>
      <w:r>
        <w:rPr>
          <w:rFonts w:ascii="Calibri" w:cs="Calibri" w:eastAsia="Calibri" w:hAnsi="Calibri"/>
          <w:b/>
          <w:bCs/>
          <w:color w:val="1F3864"/>
          <w:sz w:val="30"/>
          <w:szCs w:val="30"/>
        </w:rPr>
        <w:t xml:space="preserve">5  Funktionsvergleich Zahlungsabwicklung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100"/>
        <w:gridCol w:w="3638"/>
      </w:tblGrid>
      <w:tr>
        <w:trPr>
          <w:tblHeader/>
        </w:trPr>
        <w:tc>
          <w:tcPr>
            <w:tcW w:type="dxa" w:w="29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Funktion</w:t>
            </w:r>
          </w:p>
        </w:tc>
        <w:tc>
          <w:tcPr>
            <w:tcW w:type="dxa" w:w="31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Kinnovis</w:t>
            </w:r>
          </w:p>
        </w:tc>
        <w:tc>
          <w:tcPr>
            <w:tcW w:type="dxa" w:w="36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Stora</w:t>
            </w:r>
          </w:p>
        </w:tc>
      </w:tr>
      <w:tr>
        <w:tc>
          <w:tcPr>
            <w:tcW w:type="dxa" w:w="2900"/>
            <w:tcMar>
              <w:top w:type="dxa" w:w="60"/>
              <w:left w:type="dxa" w:w="100"/>
              <w:bottom w:type="dxa" w:w="60"/>
              <w:right w:type="dxa" w:w="100"/>
            </w:tcMar>
          </w:tcPr>
          <w:p>
            <w:pPr>
              <w:spacing w:after="0" w:line="250"/>
            </w:pPr>
            <w:r>
              <w:rPr>
                <w:rFonts w:ascii="Calibri" w:cs="Calibri" w:eastAsia="Calibri" w:hAnsi="Calibri"/>
                <w:sz w:val="19"/>
                <w:szCs w:val="19"/>
              </w:rPr>
              <w:t xml:space="preserve">SEPA-Lastschrift über eigene Bank (XML-Export)</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vorhanden (belegt)</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nicht vorgesehen</w:t>
            </w:r>
          </w:p>
        </w:tc>
      </w:tr>
      <w:tr>
        <w:tc>
          <w:tcPr>
            <w:tcW w:type="dxa" w:w="2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SEPA-Lastschrift über Zahlungsdienstleister</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über Stripe (belegt)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über Stripe (belegt)</w:t>
            </w:r>
          </w:p>
        </w:tc>
      </w:tr>
      <w:tr>
        <w:tc>
          <w:tcPr>
            <w:tcW w:type="dxa" w:w="2900"/>
            <w:tcMar>
              <w:top w:type="dxa" w:w="60"/>
              <w:left w:type="dxa" w:w="100"/>
              <w:bottom w:type="dxa" w:w="60"/>
              <w:right w:type="dxa" w:w="100"/>
            </w:tcMar>
          </w:tcPr>
          <w:p>
            <w:pPr>
              <w:spacing w:after="0" w:line="250"/>
            </w:pPr>
            <w:r>
              <w:rPr>
                <w:rFonts w:ascii="Calibri" w:cs="Calibri" w:eastAsia="Calibri" w:hAnsi="Calibri"/>
                <w:sz w:val="19"/>
                <w:szCs w:val="19"/>
              </w:rPr>
              <w:t xml:space="preserve">Kartenzahlung wiederkehrend</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über Stripe (belegt)</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über Stripe (belegt)</w:t>
            </w:r>
          </w:p>
        </w:tc>
      </w:tr>
      <w:tr>
        <w:tc>
          <w:tcPr>
            <w:tcW w:type="dxa" w:w="2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Apple Pay / Google Pay / Link</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vorhanden (belegt)</w:t>
            </w:r>
          </w:p>
        </w:tc>
      </w:tr>
      <w:tr>
        <w:tc>
          <w:tcPr>
            <w:tcW w:type="dxa" w:w="2900"/>
            <w:tcMar>
              <w:top w:type="dxa" w:w="60"/>
              <w:left w:type="dxa" w:w="100"/>
              <w:bottom w:type="dxa" w:w="60"/>
              <w:right w:type="dxa" w:w="100"/>
            </w:tcMar>
          </w:tcPr>
          <w:p>
            <w:pPr>
              <w:spacing w:after="0" w:line="250"/>
            </w:pPr>
            <w:r>
              <w:rPr>
                <w:rFonts w:ascii="Calibri" w:cs="Calibri" w:eastAsia="Calibri" w:hAnsi="Calibri"/>
                <w:sz w:val="19"/>
                <w:szCs w:val="19"/>
              </w:rPr>
              <w:t xml:space="preserve">Kunde wählt Zahlungsart bei der Buchung</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vorhanden (belegt)</w:t>
            </w:r>
          </w:p>
        </w:tc>
      </w:tr>
      <w:tr>
        <w:tc>
          <w:tcPr>
            <w:tcW w:type="dxa" w:w="2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 ändert Zahlungsart selbst im Portal</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Kundenportal vorhanden (belegt)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Kundenkonto vorhanden (belegt)</w:t>
            </w:r>
          </w:p>
        </w:tc>
      </w:tr>
      <w:tr>
        <w:tc>
          <w:tcPr>
            <w:tcW w:type="dxa" w:w="2900"/>
            <w:tcMar>
              <w:top w:type="dxa" w:w="60"/>
              <w:left w:type="dxa" w:w="100"/>
              <w:bottom w:type="dxa" w:w="60"/>
              <w:right w:type="dxa" w:w="100"/>
            </w:tcMar>
          </w:tcPr>
          <w:p>
            <w:pPr>
              <w:spacing w:after="0" w:line="250"/>
            </w:pPr>
            <w:r>
              <w:rPr>
                <w:rFonts w:ascii="Calibri" w:cs="Calibri" w:eastAsia="Calibri" w:hAnsi="Calibri"/>
                <w:sz w:val="19"/>
                <w:szCs w:val="19"/>
              </w:rPr>
              <w:t xml:space="preserve">Manuelle Zahlungsarten (Überweisung, Bar, Scheck)</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vorhanden, Rechnung per E-Mail, Zahlung wird manuell als bezahlt markiert (belegt)</w:t>
            </w:r>
          </w:p>
        </w:tc>
      </w:tr>
      <w:tr>
        <w:tc>
          <w:tcPr>
            <w:tcW w:type="dxa" w:w="2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Automatischer Zahlungsabgleich bei PSP-Zahlungen</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plausibel</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vorhanden (belegt)</w:t>
            </w:r>
          </w:p>
        </w:tc>
      </w:tr>
      <w:tr>
        <w:tc>
          <w:tcPr>
            <w:tcW w:type="dxa" w:w="2900"/>
            <w:tcMar>
              <w:top w:type="dxa" w:w="60"/>
              <w:left w:type="dxa" w:w="100"/>
              <w:bottom w:type="dxa" w:w="60"/>
              <w:right w:type="dxa" w:w="100"/>
            </w:tcMar>
          </w:tcPr>
          <w:p>
            <w:pPr>
              <w:spacing w:after="0" w:line="250"/>
            </w:pPr>
            <w:r>
              <w:rPr>
                <w:rFonts w:ascii="Calibri" w:cs="Calibri" w:eastAsia="Calibri" w:hAnsi="Calibri"/>
                <w:sz w:val="19"/>
                <w:szCs w:val="19"/>
              </w:rPr>
              <w:t xml:space="preserve">Import des Bankkontoauszugs (CAMT.053 / MT940)</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offen, nach Quellenlage nicht vorgesehen</w:t>
            </w:r>
          </w:p>
        </w:tc>
      </w:tr>
      <w:tr>
        <w:tc>
          <w:tcPr>
            <w:tcW w:type="dxa" w:w="2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Verarbeitung von Rückläufern und Mahnstufen</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automatisierte Erinnerungen (belegt)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automatisches Handling fehlgeschlagener Zahlungen (belegt)</w:t>
            </w:r>
          </w:p>
        </w:tc>
      </w:tr>
      <w:tr>
        <w:tc>
          <w:tcPr>
            <w:tcW w:type="dxa" w:w="2900"/>
            <w:tcMar>
              <w:top w:type="dxa" w:w="60"/>
              <w:left w:type="dxa" w:w="100"/>
              <w:bottom w:type="dxa" w:w="60"/>
              <w:right w:type="dxa" w:w="100"/>
            </w:tcMar>
          </w:tcPr>
          <w:p>
            <w:pPr>
              <w:spacing w:after="0" w:line="250"/>
            </w:pPr>
            <w:r>
              <w:rPr>
                <w:rFonts w:ascii="Calibri" w:cs="Calibri" w:eastAsia="Calibri" w:hAnsi="Calibri"/>
                <w:sz w:val="19"/>
                <w:szCs w:val="19"/>
              </w:rPr>
              <w:t xml:space="preserve">Identitätsprüfung beim Abschluss</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Stripe Identity (belegt)</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Stripe Identity (belegt)</w:t>
            </w:r>
          </w:p>
        </w:tc>
      </w:tr>
      <w:tr>
        <w:tc>
          <w:tcPr>
            <w:tcW w:type="dxa" w:w="2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Buchhaltungsexport</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DATEV-Report, Xero (belegt)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Xero, QuickBooks (belegt)</w:t>
            </w:r>
          </w:p>
        </w:tc>
      </w:tr>
      <w:tr>
        <w:tc>
          <w:tcPr>
            <w:tcW w:type="dxa" w:w="2900"/>
            <w:tcMar>
              <w:top w:type="dxa" w:w="60"/>
              <w:left w:type="dxa" w:w="100"/>
              <w:bottom w:type="dxa" w:w="60"/>
              <w:right w:type="dxa" w:w="100"/>
            </w:tcMar>
          </w:tcPr>
          <w:p>
            <w:pPr>
              <w:spacing w:after="0" w:line="250"/>
            </w:pPr>
            <w:r>
              <w:rPr>
                <w:rFonts w:ascii="Calibri" w:cs="Calibri" w:eastAsia="Calibri" w:hAnsi="Calibri"/>
                <w:sz w:val="19"/>
                <w:szCs w:val="19"/>
              </w:rPr>
              <w:t xml:space="preserve">Offene Schnittstelle</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Kinnovis Connect, öffentliche API (belegt)</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Zapier mit über 8.000 Apps (belegt)</w:t>
            </w:r>
          </w:p>
        </w:tc>
      </w:tr>
      <w:tr>
        <w:tc>
          <w:tcPr>
            <w:tcW w:type="dxa" w:w="2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Kautionen getrennt führen</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offen</w:t>
            </w:r>
          </w:p>
        </w:tc>
      </w:tr>
    </w:tbl>
    <w:p>
      <w:pPr>
        <w:spacing w:after="140"/>
      </w:pPr>
    </w:p>
    <w:p>
      <w:pPr>
        <w:pStyle w:val="Heading2"/>
        <w:spacing w:after="140" w:before="260"/>
      </w:pPr>
      <w:r>
        <w:rPr>
          <w:rFonts w:ascii="Calibri" w:cs="Calibri" w:eastAsia="Calibri" w:hAnsi="Calibri"/>
          <w:b/>
          <w:bCs/>
          <w:color w:val="1F3864"/>
          <w:sz w:val="24"/>
          <w:szCs w:val="24"/>
        </w:rPr>
        <w:t xml:space="preserve">5.1  Wie die beiden Systeme mit Überweisungen umgehen</w:t>
      </w:r>
    </w:p>
    <w:p>
      <w:pPr>
        <w:spacing w:after="120" w:line="276"/>
      </w:pPr>
      <w:r>
        <w:rPr>
          <w:rFonts w:ascii="Calibri" w:cs="Calibri" w:eastAsia="Calibri" w:hAnsi="Calibri"/>
          <w:sz w:val="21"/>
          <w:szCs w:val="21"/>
        </w:rPr>
        <w:t xml:space="preserve">Für Stora ist der Ablauf dokumentiert: Kunden mit manueller Zahlungsart erhalten monatlich eine Rechnung per E-Mail, und die Zahlung wird nach Prüfung des Kontoauszugs im System von Hand als bezahlt markiert. Das ist der heutige Zustand bei deinPlatz – für diesen Teil der Kunden entsteht kein Automatisierungsgewinn.</w:t>
      </w:r>
    </w:p>
    <w:p>
      <w:pPr>
        <w:spacing w:after="120" w:line="276"/>
      </w:pPr>
      <w:r>
        <w:rPr>
          <w:rFonts w:ascii="Calibri" w:cs="Calibri" w:eastAsia="Calibri" w:hAnsi="Calibri"/>
          <w:sz w:val="21"/>
          <w:szCs w:val="21"/>
        </w:rPr>
        <w:t xml:space="preserve">Für Kinnovis ist der entsprechende Ablauf nicht dokumentiert und muss in der Demo gezeigt werden. Entscheidend ist die Frage, ob ein Kontoauszug eingelesen und automatisch zugeordnet werden kann. Fällt die Antwort bei beiden negativ aus, bleibt die Verlagerung auf Lastschrift der einzige wirksame Hebel.</w:t>
      </w:r>
    </w:p>
    <w:p>
      <w:pPr>
        <w:pStyle w:val="Heading2"/>
        <w:spacing w:after="140" w:before="260"/>
      </w:pPr>
      <w:r>
        <w:rPr>
          <w:rFonts w:ascii="Calibri" w:cs="Calibri" w:eastAsia="Calibri" w:hAnsi="Calibri"/>
          <w:b/>
          <w:bCs/>
          <w:color w:val="1F3864"/>
          <w:sz w:val="24"/>
          <w:szCs w:val="24"/>
        </w:rPr>
        <w:t xml:space="preserve">5.2  Der Sonderfall Stripe-Auszahlungen</w:t>
      </w:r>
    </w:p>
    <w:p>
      <w:pPr>
        <w:spacing w:after="120" w:line="276"/>
      </w:pPr>
      <w:r>
        <w:rPr>
          <w:rFonts w:ascii="Calibri" w:cs="Calibri" w:eastAsia="Calibri" w:hAnsi="Calibri"/>
          <w:sz w:val="21"/>
          <w:szCs w:val="21"/>
        </w:rPr>
        <w:t xml:space="preserve">Bei Zahlungen über Stripe erscheint auf dem Bankkonto nicht die einzelne Kundenzahlung, sondern eine gebündelte Auszahlung abzüglich der Gebühren. Für die Buchhaltung bedeutet das eine zusätzliche Auflösung: Auszahlungsbetrag gegen Forderungen, Gebühren als Aufwand. Das ist einmalig einzurichten, muss aber mit der Steuerberatung abgestimmt und im Buchhaltungsexport abgebildet sein.</w:t>
      </w:r>
    </w:p>
    <w:p>
      <w:r>
        <w:br w:type="page"/>
      </w:r>
    </w:p>
    <w:p>
      <w:pPr>
        <w:pStyle w:val="Heading1"/>
        <w:spacing w:after="180" w:before="360"/>
      </w:pPr>
      <w:r>
        <w:rPr>
          <w:rFonts w:ascii="Calibri" w:cs="Calibri" w:eastAsia="Calibri" w:hAnsi="Calibri"/>
          <w:b/>
          <w:bCs/>
          <w:color w:val="1F3864"/>
          <w:sz w:val="30"/>
          <w:szCs w:val="30"/>
        </w:rPr>
        <w:t xml:space="preserve">6  Einbindung der Bestandskunden</w:t>
      </w:r>
    </w:p>
    <w:p>
      <w:pPr>
        <w:pStyle w:val="Heading2"/>
        <w:spacing w:after="140" w:before="260"/>
      </w:pPr>
      <w:r>
        <w:rPr>
          <w:rFonts w:ascii="Calibri" w:cs="Calibri" w:eastAsia="Calibri" w:hAnsi="Calibri"/>
          <w:b/>
          <w:bCs/>
          <w:color w:val="1F3864"/>
          <w:sz w:val="24"/>
          <w:szCs w:val="24"/>
        </w:rPr>
        <w:t xml:space="preserve">6.1  Migrationspfade je Modell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800"/>
        <w:gridCol w:w="2400"/>
        <w:gridCol w:w="2438"/>
      </w:tblGrid>
      <w:tr>
        <w:trPr>
          <w:tblHeader/>
        </w:trPr>
        <w:tc>
          <w:tcPr>
            <w:tcW w:type="dxa" w:w="20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Modell</w:t>
            </w:r>
          </w:p>
        </w:tc>
        <w:tc>
          <w:tcPr>
            <w:tcW w:type="dxa" w:w="28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Was mit den Mandaten passiert</w:t>
            </w:r>
          </w:p>
        </w:tc>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Kundenaktion</w:t>
            </w:r>
          </w:p>
        </w:tc>
        <w:tc>
          <w:tcPr>
            <w:tcW w:type="dxa" w:w="24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Aufwand</w:t>
            </w:r>
          </w:p>
        </w:tc>
      </w:tr>
      <w:tr>
        <w:tc>
          <w:tcPr>
            <w:tcW w:type="dxa" w:w="2000"/>
            <w:tcMar>
              <w:top w:type="dxa" w:w="60"/>
              <w:left w:type="dxa" w:w="100"/>
              <w:bottom w:type="dxa" w:w="60"/>
              <w:right w:type="dxa" w:w="100"/>
            </w:tcMar>
          </w:tcPr>
          <w:p>
            <w:pPr>
              <w:spacing w:after="0" w:line="250"/>
            </w:pPr>
            <w:r>
              <w:rPr>
                <w:rFonts w:ascii="Calibri" w:cs="Calibri" w:eastAsia="Calibri" w:hAnsi="Calibri"/>
                <w:sz w:val="19"/>
                <w:szCs w:val="19"/>
              </w:rPr>
              <w:t xml:space="preserve">A – eigene Bank</w:t>
            </w:r>
          </w:p>
        </w:tc>
        <w:tc>
          <w:tcPr>
            <w:tcW w:type="dxa" w:w="2800"/>
            <w:tcMar>
              <w:top w:type="dxa" w:w="60"/>
              <w:left w:type="dxa" w:w="100"/>
              <w:bottom w:type="dxa" w:w="60"/>
              <w:right w:type="dxa" w:w="100"/>
            </w:tcMar>
          </w:tcPr>
          <w:p>
            <w:pPr>
              <w:spacing w:after="0" w:line="250"/>
            </w:pPr>
            <w:r>
              <w:rPr>
                <w:rFonts w:ascii="Calibri" w:cs="Calibri" w:eastAsia="Calibri" w:hAnsi="Calibri"/>
                <w:sz w:val="19"/>
                <w:szCs w:val="19"/>
              </w:rPr>
              <w:t xml:space="preserve">unverändert weiterverwendet, gleiche Gläubiger-ID und Mandatsreferenz</w:t>
            </w:r>
          </w:p>
        </w:tc>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keine</w:t>
            </w:r>
          </w:p>
        </w:tc>
        <w:tc>
          <w:tcPr>
            <w:tcW w:type="dxa" w:w="2438"/>
            <w:tcMar>
              <w:top w:type="dxa" w:w="60"/>
              <w:left w:type="dxa" w:w="100"/>
              <w:bottom w:type="dxa" w:w="60"/>
              <w:right w:type="dxa" w:w="100"/>
            </w:tcMar>
          </w:tcPr>
          <w:p>
            <w:pPr>
              <w:spacing w:after="0" w:line="250"/>
            </w:pPr>
            <w:r>
              <w:rPr>
                <w:rFonts w:ascii="Calibri" w:cs="Calibri" w:eastAsia="Calibri" w:hAnsi="Calibri"/>
                <w:sz w:val="19"/>
                <w:szCs w:val="19"/>
              </w:rPr>
              <w:t xml:space="preserve">gering: Datenübernahme</w:t>
            </w:r>
          </w:p>
        </w:tc>
      </w:tr>
      <w:tr>
        <w:tc>
          <w:tcPr>
            <w:tcW w:type="dxa" w:w="2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 – Stripe mit eigener Gläubiger-ID</w:t>
            </w:r>
          </w:p>
        </w:tc>
        <w:tc>
          <w:tcPr>
            <w:tcW w:type="dxa" w:w="28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Bestandsmandate werden zu Stripe portiert</w:t>
            </w:r>
          </w:p>
        </w:tc>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keine bis gering, Information empfohlen</w:t>
            </w:r>
          </w:p>
        </w:tc>
        <w:tc>
          <w:tcPr>
            <w:tcW w:type="dxa" w:w="2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mittel: formaler Migrationsprozess mit Stripe, Konfiguration vor der ersten Zahlung</w:t>
            </w:r>
          </w:p>
        </w:tc>
      </w:tr>
      <w:tr>
        <w:tc>
          <w:tcPr>
            <w:tcW w:type="dxa" w:w="2000"/>
            <w:tcMar>
              <w:top w:type="dxa" w:w="60"/>
              <w:left w:type="dxa" w:w="100"/>
              <w:bottom w:type="dxa" w:w="60"/>
              <w:right w:type="dxa" w:w="100"/>
            </w:tcMar>
          </w:tcPr>
          <w:p>
            <w:pPr>
              <w:spacing w:after="0" w:line="250"/>
            </w:pPr>
            <w:r>
              <w:rPr>
                <w:rFonts w:ascii="Calibri" w:cs="Calibri" w:eastAsia="Calibri" w:hAnsi="Calibri"/>
                <w:sz w:val="19"/>
                <w:szCs w:val="19"/>
              </w:rPr>
              <w:t xml:space="preserve">B – Stripe mit Stripe-Gläubiger-ID</w:t>
            </w:r>
          </w:p>
        </w:tc>
        <w:tc>
          <w:tcPr>
            <w:tcW w:type="dxa" w:w="2800"/>
            <w:tcMar>
              <w:top w:type="dxa" w:w="60"/>
              <w:left w:type="dxa" w:w="100"/>
              <w:bottom w:type="dxa" w:w="60"/>
              <w:right w:type="dxa" w:w="100"/>
            </w:tcMar>
          </w:tcPr>
          <w:p>
            <w:pPr>
              <w:spacing w:after="0" w:line="250"/>
            </w:pPr>
            <w:r>
              <w:rPr>
                <w:rFonts w:ascii="Calibri" w:cs="Calibri" w:eastAsia="Calibri" w:hAnsi="Calibri"/>
                <w:sz w:val="19"/>
                <w:szCs w:val="19"/>
              </w:rPr>
              <w:t xml:space="preserve">neue Mandate erforderlich</w:t>
            </w:r>
          </w:p>
        </w:tc>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alle Kunden müssen ein neues Mandat erteilen</w:t>
            </w:r>
          </w:p>
        </w:tc>
        <w:tc>
          <w:tcPr>
            <w:tcW w:type="dxa" w:w="2438"/>
            <w:tcMar>
              <w:top w:type="dxa" w:w="60"/>
              <w:left w:type="dxa" w:w="100"/>
              <w:bottom w:type="dxa" w:w="60"/>
              <w:right w:type="dxa" w:w="100"/>
            </w:tcMar>
          </w:tcPr>
          <w:p>
            <w:pPr>
              <w:spacing w:after="0" w:line="250"/>
            </w:pPr>
            <w:r>
              <w:rPr>
                <w:rFonts w:ascii="Calibri" w:cs="Calibri" w:eastAsia="Calibri" w:hAnsi="Calibri"/>
                <w:sz w:val="19"/>
                <w:szCs w:val="19"/>
              </w:rPr>
              <w:t xml:space="preserve">hoch: drei bis vier Wochen Vorlauf, Nachfassen nötig</w:t>
            </w:r>
          </w:p>
        </w:tc>
      </w:tr>
      <w:tr>
        <w:tc>
          <w:tcPr>
            <w:tcW w:type="dxa" w:w="2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C – Hybrid</w:t>
            </w:r>
          </w:p>
        </w:tc>
        <w:tc>
          <w:tcPr>
            <w:tcW w:type="dxa" w:w="28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Bestand bleibt bei der Bank, Neukunden über Stripe</w:t>
            </w:r>
          </w:p>
        </w:tc>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keine</w:t>
            </w:r>
          </w:p>
        </w:tc>
        <w:tc>
          <w:tcPr>
            <w:tcW w:type="dxa" w:w="2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gering</w:t>
            </w:r>
          </w:p>
        </w:tc>
      </w:tr>
    </w:tbl>
    <w:p>
      <w:pPr>
        <w:spacing w:after="140"/>
      </w:pPr>
    </w:p>
    <w:p>
      <w:pPr>
        <w:spacing w:after="120" w:line="276"/>
      </w:pPr>
      <w:r>
        <w:rPr>
          <w:rFonts w:ascii="Calibri" w:cs="Calibri" w:eastAsia="Calibri" w:hAnsi="Calibri"/>
          <w:b/>
          <w:bCs/>
          <w:sz w:val="21"/>
          <w:szCs w:val="21"/>
        </w:rPr>
        <w:t xml:space="preserve">Kritischer Konfigurationspunkt: </w:t>
      </w:r>
      <w:r>
        <w:rPr>
          <w:rFonts w:ascii="Calibri" w:cs="Calibri" w:eastAsia="Calibri" w:hAnsi="Calibri"/>
          <w:sz w:val="21"/>
          <w:szCs w:val="21"/>
        </w:rPr>
        <w:t xml:space="preserve">Wird Stripe eingesetzt, muss die Entscheidung für die eigene Gläubiger-ID vor der ersten Live-Zahlung getroffen werden. Sie ist danach nicht mehr änderbar (belegt). Ein übersehener Haken in der Einrichtung erzwingt später die Neueinholung aller Mandate.</w:t>
      </w:r>
    </w:p>
    <w:p>
      <w:pPr>
        <w:pStyle w:val="Heading2"/>
        <w:spacing w:after="140" w:before="260"/>
      </w:pPr>
      <w:r>
        <w:rPr>
          <w:rFonts w:ascii="Calibri" w:cs="Calibri" w:eastAsia="Calibri" w:hAnsi="Calibri"/>
          <w:b/>
          <w:bCs/>
          <w:color w:val="1F3864"/>
          <w:sz w:val="24"/>
          <w:szCs w:val="24"/>
        </w:rPr>
        <w:t xml:space="preserve">6.2  Umstellung der Überweiser auf Lastschrift</w:t>
      </w:r>
    </w:p>
    <w:p>
      <w:pPr>
        <w:spacing w:after="120" w:line="276"/>
      </w:pPr>
      <w:r>
        <w:rPr>
          <w:rFonts w:ascii="Calibri" w:cs="Calibri" w:eastAsia="Calibri" w:hAnsi="Calibri"/>
          <w:sz w:val="21"/>
          <w:szCs w:val="21"/>
        </w:rPr>
        <w:t xml:space="preserve">Unabhängig vom Modell ist dies die wirksamste Einzelmaßnahme: Jeder Kunde, der von Überweisung auf Lastschrift wechselt, entfernt einen manuellen Abgleich pro Monat und senkt gleichzeitig das Ausfallrisiko.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4200"/>
        <w:gridCol w:w="4038"/>
      </w:tblGrid>
      <w:tr>
        <w:trPr>
          <w:tblHeader/>
        </w:trPr>
        <w:tc>
          <w:tcPr>
            <w:tcW w:type="dxa" w:w="1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Schritt</w:t>
            </w:r>
          </w:p>
        </w:tc>
        <w:tc>
          <w:tcPr>
            <w:tcW w:type="dxa" w:w="4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Maßnahme</w:t>
            </w:r>
          </w:p>
        </w:tc>
        <w:tc>
          <w:tcPr>
            <w:tcW w:type="dxa" w:w="40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Hinweis</w:t>
            </w:r>
          </w:p>
        </w:tc>
      </w:tr>
      <w:tr>
        <w:tc>
          <w:tcPr>
            <w:tcW w:type="dxa" w:w="1400"/>
            <w:tcMar>
              <w:top w:type="dxa" w:w="60"/>
              <w:left w:type="dxa" w:w="100"/>
              <w:bottom w:type="dxa" w:w="60"/>
              <w:right w:type="dxa" w:w="100"/>
            </w:tcMar>
          </w:tcPr>
          <w:p>
            <w:pPr>
              <w:spacing w:after="0" w:line="250"/>
            </w:pPr>
            <w:r>
              <w:rPr>
                <w:rFonts w:ascii="Calibri" w:cs="Calibri" w:eastAsia="Calibri" w:hAnsi="Calibri"/>
                <w:sz w:val="19"/>
                <w:szCs w:val="19"/>
              </w:rPr>
              <w:t xml:space="preserve">1</w:t>
            </w:r>
          </w:p>
        </w:tc>
        <w:tc>
          <w:tcPr>
            <w:tcW w:type="dxa" w:w="4200"/>
            <w:tcMar>
              <w:top w:type="dxa" w:w="60"/>
              <w:left w:type="dxa" w:w="100"/>
              <w:bottom w:type="dxa" w:w="60"/>
              <w:right w:type="dxa" w:w="100"/>
            </w:tcMar>
          </w:tcPr>
          <w:p>
            <w:pPr>
              <w:spacing w:after="0" w:line="250"/>
            </w:pPr>
            <w:r>
              <w:rPr>
                <w:rFonts w:ascii="Calibri" w:cs="Calibri" w:eastAsia="Calibri" w:hAnsi="Calibri"/>
                <w:sz w:val="19"/>
                <w:szCs w:val="19"/>
              </w:rPr>
              <w:t xml:space="preserve">Liste der Überweiser erstellen</w:t>
            </w:r>
          </w:p>
        </w:tc>
        <w:tc>
          <w:tcPr>
            <w:tcW w:type="dxa" w:w="4038"/>
            <w:tcMar>
              <w:top w:type="dxa" w:w="60"/>
              <w:left w:type="dxa" w:w="100"/>
              <w:bottom w:type="dxa" w:w="60"/>
              <w:right w:type="dxa" w:w="100"/>
            </w:tcMar>
          </w:tcPr>
          <w:p>
            <w:pPr>
              <w:spacing w:after="0" w:line="250"/>
            </w:pPr>
            <w:r>
              <w:rPr>
                <w:rFonts w:ascii="Calibri" w:cs="Calibri" w:eastAsia="Calibri" w:hAnsi="Calibri"/>
                <w:sz w:val="19"/>
                <w:szCs w:val="19"/>
              </w:rPr>
              <w:t xml:space="preserve">aus dem Zoho-Export und dem Kontoauszug</w:t>
            </w:r>
          </w:p>
        </w:tc>
      </w:tr>
      <w:tr>
        <w:tc>
          <w:tcPr>
            <w:tcW w:type="dxa" w:w="1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2</w:t>
            </w:r>
          </w:p>
        </w:tc>
        <w:tc>
          <w:tcPr>
            <w:tcW w:type="dxa" w:w="4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Anschreiben mit Nutzen und einfachem Weg zur Mandatserteilung</w:t>
            </w:r>
          </w:p>
        </w:tc>
        <w:tc>
          <w:tcPr>
            <w:tcW w:type="dxa" w:w="4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digitale Erteilung über das Kundenportal bevorzugen</w:t>
            </w:r>
          </w:p>
        </w:tc>
      </w:tr>
      <w:tr>
        <w:tc>
          <w:tcPr>
            <w:tcW w:type="dxa" w:w="1400"/>
            <w:tcMar>
              <w:top w:type="dxa" w:w="60"/>
              <w:left w:type="dxa" w:w="100"/>
              <w:bottom w:type="dxa" w:w="60"/>
              <w:right w:type="dxa" w:w="100"/>
            </w:tcMar>
          </w:tcPr>
          <w:p>
            <w:pPr>
              <w:spacing w:after="0" w:line="250"/>
            </w:pPr>
            <w:r>
              <w:rPr>
                <w:rFonts w:ascii="Calibri" w:cs="Calibri" w:eastAsia="Calibri" w:hAnsi="Calibri"/>
                <w:sz w:val="19"/>
                <w:szCs w:val="19"/>
              </w:rPr>
              <w:t xml:space="preserve">3</w:t>
            </w:r>
          </w:p>
        </w:tc>
        <w:tc>
          <w:tcPr>
            <w:tcW w:type="dxa" w:w="4200"/>
            <w:tcMar>
              <w:top w:type="dxa" w:w="60"/>
              <w:left w:type="dxa" w:w="100"/>
              <w:bottom w:type="dxa" w:w="60"/>
              <w:right w:type="dxa" w:w="100"/>
            </w:tcMar>
          </w:tcPr>
          <w:p>
            <w:pPr>
              <w:spacing w:after="0" w:line="250"/>
            </w:pPr>
            <w:r>
              <w:rPr>
                <w:rFonts w:ascii="Calibri" w:cs="Calibri" w:eastAsia="Calibri" w:hAnsi="Calibri"/>
                <w:sz w:val="19"/>
                <w:szCs w:val="19"/>
              </w:rPr>
              <w:t xml:space="preserve">Erinnerung nach zwei Wochen</w:t>
            </w:r>
          </w:p>
        </w:tc>
        <w:tc>
          <w:tcPr>
            <w:tcW w:type="dxa" w:w="4038"/>
            <w:tcMar>
              <w:top w:type="dxa" w:w="60"/>
              <w:left w:type="dxa" w:w="100"/>
              <w:bottom w:type="dxa" w:w="60"/>
              <w:right w:type="dxa" w:w="100"/>
            </w:tcMar>
          </w:tcPr>
          <w:p>
            <w:pPr>
              <w:spacing w:after="0" w:line="250"/>
            </w:pPr>
            <w:r>
              <w:rPr>
                <w:rFonts w:ascii="Calibri" w:cs="Calibri" w:eastAsia="Calibri" w:hAnsi="Calibri"/>
                <w:sz w:val="19"/>
                <w:szCs w:val="19"/>
              </w:rPr>
              <w:t xml:space="preserve">erfahrungsgemäß reagiert etwa die Hälfte auf das erste Schreiben</w:t>
            </w:r>
          </w:p>
        </w:tc>
      </w:tr>
      <w:tr>
        <w:tc>
          <w:tcPr>
            <w:tcW w:type="dxa" w:w="1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4</w:t>
            </w:r>
          </w:p>
        </w:tc>
        <w:tc>
          <w:tcPr>
            <w:tcW w:type="dxa" w:w="4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Telefonisches Nachfassen</w:t>
            </w:r>
          </w:p>
        </w:tc>
        <w:tc>
          <w:tcPr>
            <w:tcW w:type="dxa" w:w="4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hebt die Quote typischerweise auf 80 bis 90 Prozent</w:t>
            </w:r>
          </w:p>
        </w:tc>
      </w:tr>
      <w:tr>
        <w:tc>
          <w:tcPr>
            <w:tcW w:type="dxa" w:w="1400"/>
            <w:tcMar>
              <w:top w:type="dxa" w:w="60"/>
              <w:left w:type="dxa" w:w="100"/>
              <w:bottom w:type="dxa" w:w="60"/>
              <w:right w:type="dxa" w:w="100"/>
            </w:tcMar>
          </w:tcPr>
          <w:p>
            <w:pPr>
              <w:spacing w:after="0" w:line="250"/>
            </w:pPr>
            <w:r>
              <w:rPr>
                <w:rFonts w:ascii="Calibri" w:cs="Calibri" w:eastAsia="Calibri" w:hAnsi="Calibri"/>
                <w:sz w:val="19"/>
                <w:szCs w:val="19"/>
              </w:rPr>
              <w:t xml:space="preserve">5</w:t>
            </w:r>
          </w:p>
        </w:tc>
        <w:tc>
          <w:tcPr>
            <w:tcW w:type="dxa" w:w="4200"/>
            <w:tcMar>
              <w:top w:type="dxa" w:w="60"/>
              <w:left w:type="dxa" w:w="100"/>
              <w:bottom w:type="dxa" w:w="60"/>
              <w:right w:type="dxa" w:w="100"/>
            </w:tcMar>
          </w:tcPr>
          <w:p>
            <w:pPr>
              <w:spacing w:after="0" w:line="250"/>
            </w:pPr>
            <w:r>
              <w:rPr>
                <w:rFonts w:ascii="Calibri" w:cs="Calibri" w:eastAsia="Calibri" w:hAnsi="Calibri"/>
                <w:sz w:val="19"/>
                <w:szCs w:val="19"/>
              </w:rPr>
              <w:t xml:space="preserve">Rest bei Überweisung belassen</w:t>
            </w:r>
          </w:p>
        </w:tc>
        <w:tc>
          <w:tcPr>
            <w:tcW w:type="dxa" w:w="4038"/>
            <w:tcMar>
              <w:top w:type="dxa" w:w="60"/>
              <w:left w:type="dxa" w:w="100"/>
              <w:bottom w:type="dxa" w:w="60"/>
              <w:right w:type="dxa" w:w="100"/>
            </w:tcMar>
          </w:tcPr>
          <w:p>
            <w:pPr>
              <w:spacing w:after="0" w:line="250"/>
            </w:pPr>
            <w:r>
              <w:rPr>
                <w:rFonts w:ascii="Calibri" w:cs="Calibri" w:eastAsia="Calibri" w:hAnsi="Calibri"/>
                <w:sz w:val="19"/>
                <w:szCs w:val="19"/>
              </w:rPr>
              <w:t xml:space="preserve">sauberer manueller Prozess statt Zwang</w:t>
            </w:r>
          </w:p>
        </w:tc>
      </w:tr>
    </w:tbl>
    <w:p>
      <w:pPr>
        <w:spacing w:after="140"/>
      </w:pPr>
    </w:p>
    <w:p>
      <w:pPr>
        <w:pStyle w:val="Heading2"/>
        <w:spacing w:after="140" w:before="260"/>
      </w:pPr>
      <w:r>
        <w:rPr>
          <w:rFonts w:ascii="Calibri" w:cs="Calibri" w:eastAsia="Calibri" w:hAnsi="Calibri"/>
          <w:b/>
          <w:bCs/>
          <w:color w:val="1F3864"/>
          <w:sz w:val="24"/>
          <w:szCs w:val="24"/>
        </w:rPr>
        <w:t xml:space="preserve">6.3  Kundenkommunikation</w:t>
      </w:r>
    </w:p>
    <w:p>
      <w:pPr>
        <w:spacing w:after="120" w:line="276"/>
      </w:pPr>
      <w:r>
        <w:rPr>
          <w:rFonts w:ascii="Calibri" w:cs="Calibri" w:eastAsia="Calibri" w:hAnsi="Calibri"/>
          <w:sz w:val="21"/>
          <w:szCs w:val="21"/>
        </w:rPr>
        <w:t xml:space="preserve">Bei Modell A und C ändert sich für Bestandskunden nichts – die Kommunikation beschränkt sich auf den Hinweis, dass Rechnungen künftig anders aussehen und ein Kundenportal zur Verfügung steht. Bei Modell B mit neuer Gläubiger-ID ist dagegen eine echte Umstellungsaktion nötig, inklusive Frist, Erinnerung und telefonischem Nachfassen.</w:t>
      </w:r>
    </w:p>
    <w:p>
      <w:pPr>
        <w:spacing w:after="120" w:line="276"/>
      </w:pPr>
      <w:r>
        <w:rPr>
          <w:rFonts w:ascii="Calibri" w:cs="Calibri" w:eastAsia="Calibri" w:hAnsi="Calibri"/>
          <w:sz w:val="21"/>
          <w:szCs w:val="21"/>
        </w:rPr>
        <w:t xml:space="preserve">In beiden Fällen gilt: Für Kundinnen und Kunden zählen drei Fragen – ändert sich mein Zutritt, mein Preis, meine Zahlung? Je öfter die Antwort nein lautet, desto geräuschloser verläuft die Umstellung.</w:t>
      </w:r>
    </w:p>
    <w:p>
      <w:r>
        <w:br w:type="page"/>
      </w:r>
    </w:p>
    <w:p>
      <w:pPr>
        <w:pStyle w:val="Heading1"/>
        <w:spacing w:after="180" w:before="360"/>
      </w:pPr>
      <w:r>
        <w:rPr>
          <w:rFonts w:ascii="Calibri" w:cs="Calibri" w:eastAsia="Calibri" w:hAnsi="Calibri"/>
          <w:b/>
          <w:bCs/>
          <w:color w:val="1F3864"/>
          <w:sz w:val="30"/>
          <w:szCs w:val="30"/>
        </w:rPr>
        <w:t xml:space="preserve">7  Automatisierungsgrad im Vergleich</w:t>
      </w:r>
    </w:p>
    <w:p>
      <w:pPr>
        <w:spacing w:after="120" w:line="276"/>
      </w:pPr>
      <w:r>
        <w:rPr>
          <w:rFonts w:ascii="Calibri" w:cs="Calibri" w:eastAsia="Calibri" w:hAnsi="Calibri"/>
          <w:sz w:val="21"/>
          <w:szCs w:val="21"/>
        </w:rPr>
        <w:t xml:space="preserve">Die Tabelle zeigt je Prozessschritt, was heute manuell erfolgt und was in den Modellen automatisch abläuft.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200"/>
        <w:gridCol w:w="1700"/>
        <w:gridCol w:w="1700"/>
        <w:gridCol w:w="1638"/>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Prozessschritt</w:t>
            </w:r>
          </w:p>
        </w:tc>
        <w:tc>
          <w:tcPr>
            <w:tcW w:type="dxa" w:w="2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Heute (Zoho)</w:t>
            </w:r>
          </w:p>
        </w:tc>
        <w:tc>
          <w:tcPr>
            <w:tcW w:type="dxa" w:w="17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Modell A</w:t>
            </w:r>
          </w:p>
        </w:tc>
        <w:tc>
          <w:tcPr>
            <w:tcW w:type="dxa" w:w="17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Modell B</w:t>
            </w:r>
          </w:p>
        </w:tc>
        <w:tc>
          <w:tcPr>
            <w:tcW w:type="dxa" w:w="16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Modell C</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Rechnungserstellung</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teilautomatisch</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Rechnungsversand</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manuell angestoßen</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Einzug auslösen</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manuell in der Bank</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Datei je Lauf</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tcMar>
              <w:top w:type="dxa" w:w="60"/>
              <w:left w:type="dxa" w:w="100"/>
              <w:bottom w:type="dxa" w:w="60"/>
              <w:right w:type="dxa" w:w="100"/>
            </w:tcMar>
          </w:tcPr>
          <w:p>
            <w:pPr>
              <w:spacing w:after="0" w:line="250"/>
            </w:pPr>
            <w:r>
              <w:rPr>
                <w:rFonts w:ascii="Calibri" w:cs="Calibri" w:eastAsia="Calibri" w:hAnsi="Calibri"/>
                <w:sz w:val="19"/>
                <w:szCs w:val="19"/>
              </w:rPr>
              <w:t xml:space="preserve">gemischt</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Zahlungseingang zuordnen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abhängig vom Kontoauszugsimport</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wachsend automatisch</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Rückläufer erkennen</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über Kontoauszug</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tcMar>
              <w:top w:type="dxa" w:w="60"/>
              <w:left w:type="dxa" w:w="100"/>
              <w:bottom w:type="dxa" w:w="60"/>
              <w:right w:type="dxa" w:w="100"/>
            </w:tcMar>
          </w:tcPr>
          <w:p>
            <w:pPr>
              <w:spacing w:after="0" w:line="250"/>
            </w:pPr>
            <w:r>
              <w:rPr>
                <w:rFonts w:ascii="Calibri" w:cs="Calibri" w:eastAsia="Calibri" w:hAnsi="Calibri"/>
                <w:sz w:val="19"/>
                <w:szCs w:val="19"/>
              </w:rPr>
              <w:t xml:space="preserve">gemischt</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Mahnstufe auslösen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 nach Erfassung</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c>
          <w:tcPr>
            <w:tcW w:type="dxa" w:w="1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automatisch</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Überweisung zuordnen</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638"/>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Zahlungsart ändern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Büro</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Büro</w:t>
            </w:r>
          </w:p>
        </w:tc>
        <w:tc>
          <w:tcPr>
            <w:tcW w:type="dxa" w:w="17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 im Portal</w:t>
            </w:r>
          </w:p>
        </w:tc>
        <w:tc>
          <w:tcPr>
            <w:tcW w:type="dxa" w:w="1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Kunde im Portal</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Übergabe an RZL</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manuell</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Export</w:t>
            </w:r>
          </w:p>
        </w:tc>
        <w:tc>
          <w:tcPr>
            <w:tcW w:type="dxa" w:w="1700"/>
            <w:tcMar>
              <w:top w:type="dxa" w:w="60"/>
              <w:left w:type="dxa" w:w="100"/>
              <w:bottom w:type="dxa" w:w="60"/>
              <w:right w:type="dxa" w:w="100"/>
            </w:tcMar>
          </w:tcPr>
          <w:p>
            <w:pPr>
              <w:spacing w:after="0" w:line="250"/>
            </w:pPr>
            <w:r>
              <w:rPr>
                <w:rFonts w:ascii="Calibri" w:cs="Calibri" w:eastAsia="Calibri" w:hAnsi="Calibri"/>
                <w:sz w:val="19"/>
                <w:szCs w:val="19"/>
              </w:rPr>
              <w:t xml:space="preserve">Export inklusive Auflösung der Auszahlungen</w:t>
            </w:r>
          </w:p>
        </w:tc>
        <w:tc>
          <w:tcPr>
            <w:tcW w:type="dxa" w:w="1638"/>
            <w:tcMar>
              <w:top w:type="dxa" w:w="60"/>
              <w:left w:type="dxa" w:w="100"/>
              <w:bottom w:type="dxa" w:w="60"/>
              <w:right w:type="dxa" w:w="100"/>
            </w:tcMar>
          </w:tcPr>
          <w:p>
            <w:pPr>
              <w:spacing w:after="0" w:line="250"/>
            </w:pPr>
            <w:r>
              <w:rPr>
                <w:rFonts w:ascii="Calibri" w:cs="Calibri" w:eastAsia="Calibri" w:hAnsi="Calibri"/>
                <w:sz w:val="19"/>
                <w:szCs w:val="19"/>
              </w:rPr>
              <w:t xml:space="preserve">Export</w:t>
            </w:r>
          </w:p>
        </w:tc>
      </w:tr>
    </w:tbl>
    <w:p>
      <w:pPr>
        <w:spacing w:after="140"/>
      </w:pPr>
    </w:p>
    <w:p>
      <w:pPr>
        <w:pStyle w:val="Heading2"/>
        <w:spacing w:after="140" w:before="260"/>
      </w:pPr>
      <w:r>
        <w:rPr>
          <w:rFonts w:ascii="Calibri" w:cs="Calibri" w:eastAsia="Calibri" w:hAnsi="Calibri"/>
          <w:b/>
          <w:bCs/>
          <w:color w:val="1F3864"/>
          <w:sz w:val="24"/>
          <w:szCs w:val="24"/>
        </w:rPr>
        <w:t xml:space="preserve">7.1  Was realistisch erreichbar ist</w:t>
      </w:r>
    </w:p>
    <w:p>
      <w:pPr>
        <w:pStyle w:val="ListParagraph"/>
        <w:numPr>
          <w:ilvl w:val="0"/>
          <w:numId w:val="3"/>
        </w:numPr>
        <w:spacing w:after="80" w:line="276"/>
      </w:pPr>
      <w:r>
        <w:rPr>
          <w:rFonts w:ascii="Calibri" w:cs="Calibri" w:eastAsia="Calibri" w:hAnsi="Calibri"/>
          <w:sz w:val="21"/>
          <w:szCs w:val="21"/>
        </w:rPr>
        <w:t xml:space="preserve">Der Abgleich von Lastschriften lässt sich vollständig automatisieren – im Modell B sofort, im Modell C wachsend.</w:t>
      </w:r>
    </w:p>
    <w:p>
      <w:pPr>
        <w:pStyle w:val="ListParagraph"/>
        <w:numPr>
          <w:ilvl w:val="0"/>
          <w:numId w:val="3"/>
        </w:numPr>
        <w:spacing w:after="80" w:line="276"/>
      </w:pPr>
      <w:r>
        <w:rPr>
          <w:rFonts w:ascii="Calibri" w:cs="Calibri" w:eastAsia="Calibri" w:hAnsi="Calibri"/>
          <w:sz w:val="21"/>
          <w:szCs w:val="21"/>
        </w:rPr>
        <w:t xml:space="preserve">Der Abgleich von Überweisungen bleibt in beiden Systemen manuell, solange kein Kontoauszugsimport besteht. Diese Frage ist an beide Anbieter zu richten.</w:t>
      </w:r>
    </w:p>
    <w:p>
      <w:pPr>
        <w:pStyle w:val="ListParagraph"/>
        <w:numPr>
          <w:ilvl w:val="0"/>
          <w:numId w:val="3"/>
        </w:numPr>
        <w:spacing w:after="80" w:line="276"/>
      </w:pPr>
      <w:r>
        <w:rPr>
          <w:rFonts w:ascii="Calibri" w:cs="Calibri" w:eastAsia="Calibri" w:hAnsi="Calibri"/>
          <w:sz w:val="21"/>
          <w:szCs w:val="21"/>
        </w:rPr>
        <w:t xml:space="preserve">Mahnwesen, Rechnungsversand und Kommunikation sind bei beiden Systemen vollständig regelbasiert und damit unabhängig vom Zahlungsmodell automatisierbar.</w:t>
      </w:r>
    </w:p>
    <w:p>
      <w:pPr>
        <w:pStyle w:val="ListParagraph"/>
        <w:numPr>
          <w:ilvl w:val="0"/>
          <w:numId w:val="3"/>
        </w:numPr>
        <w:spacing w:after="80" w:line="276"/>
      </w:pPr>
      <w:r>
        <w:rPr>
          <w:rFonts w:ascii="Calibri" w:cs="Calibri" w:eastAsia="Calibri" w:hAnsi="Calibri"/>
          <w:sz w:val="21"/>
          <w:szCs w:val="21"/>
        </w:rPr>
        <w:t xml:space="preserve">Die Übergabe an RZL ist der einzige Schritt, der unabhängig vom Zahlungsweg gesondert eingerichtet werden muss.</w:t>
      </w:r>
    </w:p>
    <w:p>
      <w:r>
        <w:br w:type="page"/>
      </w:r>
    </w:p>
    <w:p>
      <w:pPr>
        <w:pStyle w:val="Heading1"/>
        <w:spacing w:after="180" w:before="360"/>
      </w:pPr>
      <w:r>
        <w:rPr>
          <w:rFonts w:ascii="Calibri" w:cs="Calibri" w:eastAsia="Calibri" w:hAnsi="Calibri"/>
          <w:b/>
          <w:bCs/>
          <w:color w:val="1F3864"/>
          <w:sz w:val="30"/>
          <w:szCs w:val="30"/>
        </w:rPr>
        <w:t xml:space="preserve">8  Kostenbild</w:t>
      </w:r>
    </w:p>
    <w:p>
      <w:pPr>
        <w:spacing w:after="120" w:line="276"/>
      </w:pPr>
      <w:r>
        <w:rPr>
          <w:rFonts w:ascii="Calibri" w:cs="Calibri" w:eastAsia="Calibri" w:hAnsi="Calibri"/>
          <w:b/>
          <w:bCs/>
          <w:sz w:val="21"/>
          <w:szCs w:val="21"/>
        </w:rPr>
        <w:t xml:space="preserve">Rechenannahme: </w:t>
      </w:r>
      <w:r>
        <w:rPr>
          <w:rFonts w:ascii="Calibri" w:cs="Calibri" w:eastAsia="Calibri" w:hAnsi="Calibri"/>
          <w:sz w:val="21"/>
          <w:szCs w:val="21"/>
        </w:rPr>
        <w:t xml:space="preserve">120 aktive Verträge, durchschnittliche Monatsmiete 100 Euro, Monatsumsatz 12.000 Euro. Die tatsächlichen Werte sind in der Ist-Aufnahme zu bestätigen. Stripe-Konditionen nach öffentlicher Preisliste Österreich; Bankentgelte sind institutsabhängig und hier als Bandbreite angesetzt.</w:t>
      </w:r>
    </w:p>
    <w:p>
      <w:pPr>
        <w:pStyle w:val="Heading2"/>
        <w:spacing w:after="140" w:before="260"/>
      </w:pPr>
      <w:r>
        <w:rPr>
          <w:rFonts w:ascii="Calibri" w:cs="Calibri" w:eastAsia="Calibri" w:hAnsi="Calibri"/>
          <w:b/>
          <w:bCs/>
          <w:color w:val="1F3864"/>
          <w:sz w:val="24"/>
          <w:szCs w:val="24"/>
        </w:rPr>
        <w:t xml:space="preserve">8.1  Zahlungsentgelte je Jahr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100"/>
        <w:gridCol w:w="3138"/>
      </w:tblGrid>
      <w:tr>
        <w:trPr>
          <w:tblHeader/>
        </w:trPr>
        <w:tc>
          <w:tcPr>
            <w:tcW w:type="dxa" w:w="3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Szenario</w:t>
            </w:r>
          </w:p>
        </w:tc>
        <w:tc>
          <w:tcPr>
            <w:tcW w:type="dxa" w:w="31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Rechnung</w:t>
            </w:r>
          </w:p>
        </w:tc>
        <w:tc>
          <w:tcPr>
            <w:tcW w:type="dxa" w:w="31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Kosten pro Jahr</w:t>
            </w:r>
          </w:p>
        </w:tc>
      </w:tr>
      <w:tr>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Alles über die eigene Bank (Modell A)</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Bankentgelt je Einzug, Bandbreite 0,10 bis 0,30 Euro</w:t>
            </w:r>
          </w:p>
        </w:tc>
        <w:tc>
          <w:tcPr>
            <w:tcW w:type="dxa" w:w="3138"/>
            <w:tcMar>
              <w:top w:type="dxa" w:w="60"/>
              <w:left w:type="dxa" w:w="100"/>
              <w:bottom w:type="dxa" w:w="60"/>
              <w:right w:type="dxa" w:w="100"/>
            </w:tcMar>
          </w:tcPr>
          <w:p>
            <w:pPr>
              <w:spacing w:after="0" w:line="250"/>
            </w:pPr>
            <w:r>
              <w:rPr>
                <w:rFonts w:ascii="Calibri" w:cs="Calibri" w:eastAsia="Calibri" w:hAnsi="Calibri"/>
                <w:sz w:val="19"/>
                <w:szCs w:val="19"/>
              </w:rPr>
              <w:t xml:space="preserve">rund 150 bis 430 Euro</w:t>
            </w:r>
          </w:p>
        </w:tc>
      </w:tr>
      <w:tr>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Alles über SEPA bei Stripe (Modell B)</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120 Einzüge mal 0,35 Euro mal 12</w:t>
            </w:r>
          </w:p>
        </w:tc>
        <w:tc>
          <w:tcPr>
            <w:tcW w:type="dxa" w:w="31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rund 504 Euro</w:t>
            </w:r>
          </w:p>
        </w:tc>
      </w:tr>
      <w:tr>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Alles über Karte bei Stripe</w:t>
            </w:r>
          </w:p>
        </w:tc>
        <w:tc>
          <w:tcPr>
            <w:tcW w:type="dxa" w:w="3100"/>
            <w:tcMar>
              <w:top w:type="dxa" w:w="60"/>
              <w:left w:type="dxa" w:w="100"/>
              <w:bottom w:type="dxa" w:w="60"/>
              <w:right w:type="dxa" w:w="100"/>
            </w:tcMar>
          </w:tcPr>
          <w:p>
            <w:pPr>
              <w:spacing w:after="0" w:line="250"/>
            </w:pPr>
            <w:r>
              <w:rPr>
                <w:rFonts w:ascii="Calibri" w:cs="Calibri" w:eastAsia="Calibri" w:hAnsi="Calibri"/>
                <w:sz w:val="19"/>
                <w:szCs w:val="19"/>
              </w:rPr>
              <w:t xml:space="preserve">12.000 Euro mal 1,5 Prozent plus 120 mal 0,25 Euro, mal 12</w:t>
            </w:r>
          </w:p>
        </w:tc>
        <w:tc>
          <w:tcPr>
            <w:tcW w:type="dxa" w:w="3138"/>
            <w:tcMar>
              <w:top w:type="dxa" w:w="60"/>
              <w:left w:type="dxa" w:w="100"/>
              <w:bottom w:type="dxa" w:w="60"/>
              <w:right w:type="dxa" w:w="100"/>
            </w:tcMar>
          </w:tcPr>
          <w:p>
            <w:pPr>
              <w:spacing w:after="0" w:line="250"/>
            </w:pPr>
            <w:r>
              <w:rPr>
                <w:rFonts w:ascii="Calibri" w:cs="Calibri" w:eastAsia="Calibri" w:hAnsi="Calibri"/>
                <w:sz w:val="19"/>
                <w:szCs w:val="19"/>
              </w:rPr>
              <w:t xml:space="preserve">rund 2.520 Euro</w:t>
            </w:r>
          </w:p>
        </w:tc>
      </w:tr>
      <w:tr>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Hybrid, 75 Prozent Bank und 25 Prozent Stripe (Modell C)</w:t>
            </w:r>
          </w:p>
        </w:tc>
        <w:tc>
          <w:tcPr>
            <w:tcW w:type="dxa" w:w="3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gemischt</w:t>
            </w:r>
          </w:p>
        </w:tc>
        <w:tc>
          <w:tcPr>
            <w:tcW w:type="dxa" w:w="31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rund 300 bis 600 Euro</w:t>
            </w:r>
          </w:p>
        </w:tc>
      </w:tr>
    </w:tbl>
    <w:p>
      <w:pPr>
        <w:spacing w:after="120"/>
      </w:pPr>
    </w:p>
    <w:p>
      <w:pPr>
        <w:spacing w:after="120" w:line="276"/>
      </w:pPr>
      <w:r>
        <w:rPr>
          <w:rFonts w:ascii="Calibri" w:cs="Calibri" w:eastAsia="Calibri" w:hAnsi="Calibri"/>
          <w:sz w:val="21"/>
          <w:szCs w:val="21"/>
        </w:rPr>
        <w:t xml:space="preserve">Die Spreizung zwischen dem günstigsten und dem teuersten Szenario beträgt rund 2.400 Euro pro Jahr und liegt damit in der Größenordnung der jährlichen Softwarekosten. Kartenzahlung sollte deshalb als Zusatzoption angeboten, aber nicht zur Standardzahlungsart gemacht werden.</w:t>
      </w:r>
    </w:p>
    <w:p>
      <w:pPr>
        <w:pStyle w:val="Heading2"/>
        <w:spacing w:after="140" w:before="260"/>
      </w:pPr>
      <w:r>
        <w:rPr>
          <w:rFonts w:ascii="Calibri" w:cs="Calibri" w:eastAsia="Calibri" w:hAnsi="Calibri"/>
          <w:b/>
          <w:bCs/>
          <w:color w:val="1F3864"/>
          <w:sz w:val="24"/>
          <w:szCs w:val="24"/>
        </w:rPr>
        <w:t xml:space="preserve">8.2  Softwarekosten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3638"/>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Anbieter</w:t>
            </w:r>
          </w:p>
        </w:tc>
        <w:tc>
          <w:tcPr>
            <w:tcW w:type="dxa" w:w="3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Bekannter Stand</w:t>
            </w:r>
          </w:p>
        </w:tc>
        <w:tc>
          <w:tcPr>
            <w:tcW w:type="dxa" w:w="36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Bewertung</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Stora</w:t>
            </w:r>
          </w:p>
        </w:tc>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drei Tarife: 99, 149 und 299 GBP je Monat, keine Setup-Gebühr, keine Mindestlaufzeit (belegt); eigene EU-Preisliste vorhanden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transparent; zu klären ist, in welchem Tarif die benötigten Funktionen enthalten sind</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Kinnovis</w:t>
            </w:r>
          </w:p>
        </w:tc>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keine öffentliche Preisliste, Angebot nach Standort und Einheitenzahl (belegt)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Angebot einholen; Vergleichbarkeit erst nach Vorlage</w:t>
            </w:r>
          </w:p>
        </w:tc>
      </w:tr>
    </w:tbl>
    <w:p>
      <w:pPr>
        <w:spacing w:after="120"/>
      </w:pPr>
    </w:p>
    <w:p>
      <w:pPr>
        <w:pStyle w:val="Heading2"/>
        <w:spacing w:after="140" w:before="260"/>
      </w:pPr>
      <w:r>
        <w:rPr>
          <w:rFonts w:ascii="Calibri" w:cs="Calibri" w:eastAsia="Calibri" w:hAnsi="Calibri"/>
          <w:b/>
          <w:bCs/>
          <w:color w:val="1F3864"/>
          <w:sz w:val="24"/>
          <w:szCs w:val="24"/>
        </w:rPr>
        <w:t xml:space="preserve">8.3  Gesamtkosten über drei Jahre</w:t>
      </w:r>
    </w:p>
    <w:p>
      <w:pPr>
        <w:spacing w:after="120" w:line="276"/>
      </w:pPr>
      <w:r>
        <w:rPr>
          <w:rFonts w:ascii="Calibri" w:cs="Calibri" w:eastAsia="Calibri" w:hAnsi="Calibri"/>
          <w:sz w:val="21"/>
          <w:szCs w:val="21"/>
        </w:rPr>
        <w:t xml:space="preserve">Für die Entscheidung ist die Summe aus Lizenz, Einrichtung, Migration, Zusatzmodulen, Zahlungsentgelten und internem Aufwand über 36 Monate maßgeblich. Beide Anbieter werden gebeten, das Angebot in dieser Struktur abzugeben; die Erfassung erfolgt in der Bewertungsmatrix des Projekts.</w:t>
      </w:r>
    </w:p>
    <w:p>
      <w:pPr>
        <w:spacing w:after="120" w:line="276"/>
      </w:pPr>
      <w:r>
        <w:rPr>
          <w:rFonts w:ascii="Calibri" w:cs="Calibri" w:eastAsia="Calibri" w:hAnsi="Calibri"/>
          <w:b/>
          <w:bCs/>
          <w:sz w:val="21"/>
          <w:szCs w:val="21"/>
        </w:rPr>
        <w:t xml:space="preserve">Nicht zu vergessen: </w:t>
      </w:r>
      <w:r>
        <w:rPr>
          <w:rFonts w:ascii="Calibri" w:cs="Calibri" w:eastAsia="Calibri" w:hAnsi="Calibri"/>
          <w:sz w:val="21"/>
          <w:szCs w:val="21"/>
        </w:rPr>
        <w:t xml:space="preserve">Der größte Kostenblock ist heute nicht die Software, sondern die Arbeitszeit für den manuellen Abgleich. Wird dieser Aufwand von rund einem Tag pro Monat auf unter eine Stunde gesenkt, amortisiert sich der Wechsel unabhängig vom Lizenzpreis.</w:t>
      </w:r>
    </w:p>
    <w:p>
      <w:r>
        <w:br w:type="page"/>
      </w:r>
    </w:p>
    <w:p>
      <w:pPr>
        <w:pStyle w:val="Heading1"/>
        <w:spacing w:after="180" w:before="360"/>
      </w:pPr>
      <w:r>
        <w:rPr>
          <w:rFonts w:ascii="Calibri" w:cs="Calibri" w:eastAsia="Calibri" w:hAnsi="Calibri"/>
          <w:b/>
          <w:bCs/>
          <w:color w:val="1F3864"/>
          <w:sz w:val="30"/>
          <w:szCs w:val="30"/>
        </w:rPr>
        <w:t xml:space="preserve">9  Gesamtbild über die Zahlungsabwicklung hinaus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3638"/>
      </w:tblGrid>
      <w:tr>
        <w:trPr>
          <w:tblHeader/>
        </w:trPr>
        <w:tc>
          <w:tcPr>
            <w:tcW w:type="dxa" w:w="2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Kriterium</w:t>
            </w:r>
          </w:p>
        </w:tc>
        <w:tc>
          <w:tcPr>
            <w:tcW w:type="dxa" w:w="3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Kinnovis</w:t>
            </w:r>
          </w:p>
        </w:tc>
        <w:tc>
          <w:tcPr>
            <w:tcW w:type="dxa" w:w="36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Stora</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Herkunft und Marktnähe</w:t>
            </w:r>
          </w:p>
        </w:tc>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aus dem eigenen Self-Storage-Betrieb in Österreich entstanden, Kunden im DACH-Raum (belegt)</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aus dem britischen Markt, Betreiber in 19 Ländern (belegt)</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Sprache</w:t>
            </w:r>
          </w:p>
        </w:tc>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deutschsprachiger Auftritt und Plattformseiten (belegt)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deutschsprachige Produktbeschreibung vorhanden, Oberfläche offen</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Buchhaltung</w:t>
            </w:r>
          </w:p>
        </w:tc>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DATEV-Report als Brücke zu RZL (belegt)</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Xero und QuickBooks (belegt), RZL-Weg offen</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Vertrag und Unterschrift</w:t>
            </w:r>
          </w:p>
        </w:tc>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E-Signatur im Buchungsprozess, Signable (belegt)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Online-Abschluss vorhanden, E-Signatur plausibel</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Anlageplan (Phase 2)</w:t>
            </w:r>
          </w:p>
        </w:tc>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interaktive Facility Map im Standard (belegt)</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Facility Maps neu eingeführt (belegt), Tarifzuordnung offen</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Buchungs- und Kundenportal (Phase 2)</w:t>
            </w:r>
          </w:p>
        </w:tc>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im Standard (belegt)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im Standard, Produktkern (belegt)</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Zutrittskontrolle</w:t>
            </w:r>
          </w:p>
        </w:tc>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eigene Lösung sowie Sensorberg, Tapkey, JANUS (belegt)</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über Integrationen (belegt)</w:t>
            </w:r>
          </w:p>
        </w:tc>
      </w:tr>
      <w:tr>
        <w:tc>
          <w:tcPr>
            <w:tcW w:type="dxa" w:w="2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Ertragssteuerung</w:t>
            </w:r>
          </w:p>
        </w:tc>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Analytics (belegt)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automatisiertes Revenue Management (belegt)</w:t>
            </w:r>
          </w:p>
        </w:tc>
      </w:tr>
      <w:tr>
        <w:tc>
          <w:tcPr>
            <w:tcW w:type="dxa" w:w="2400"/>
            <w:tcMar>
              <w:top w:type="dxa" w:w="60"/>
              <w:left w:type="dxa" w:w="100"/>
              <w:bottom w:type="dxa" w:w="60"/>
              <w:right w:type="dxa" w:w="100"/>
            </w:tcMar>
          </w:tcPr>
          <w:p>
            <w:pPr>
              <w:spacing w:after="0" w:line="250"/>
            </w:pPr>
            <w:r>
              <w:rPr>
                <w:rFonts w:ascii="Calibri" w:cs="Calibri" w:eastAsia="Calibri" w:hAnsi="Calibri"/>
                <w:sz w:val="19"/>
                <w:szCs w:val="19"/>
              </w:rPr>
              <w:t xml:space="preserve">Preistransparenz</w:t>
            </w:r>
          </w:p>
        </w:tc>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keine öffentlichen Preise</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öffentliche Tarife (belegt)</w:t>
            </w:r>
          </w:p>
        </w:tc>
      </w:tr>
    </w:tbl>
    <w:p>
      <w:pPr>
        <w:spacing w:after="140"/>
      </w:pPr>
    </w:p>
    <w:p>
      <w:pPr>
        <w:spacing w:after="120" w:line="276"/>
      </w:pPr>
      <w:r>
        <w:rPr>
          <w:rFonts w:ascii="Calibri" w:cs="Calibri" w:eastAsia="Calibri" w:hAnsi="Calibri"/>
          <w:sz w:val="21"/>
          <w:szCs w:val="21"/>
        </w:rPr>
        <w:t xml:space="preserve">In der Summe gleichen sich die Systeme im Funktionsumfang. Die Unterschiede liegen dort, wo es für einen österreichischen Einzelstandort zählt: Zahlungswege, Buchhaltung und Sprache – und in allen drei Punkten liegt Kinnovis nach heutigem Kenntnisstand vorn.</w:t>
      </w:r>
    </w:p>
    <w:p>
      <w:pPr>
        <w:pStyle w:val="Heading1"/>
        <w:spacing w:after="180" w:before="360"/>
      </w:pPr>
      <w:r>
        <w:rPr>
          <w:rFonts w:ascii="Calibri" w:cs="Calibri" w:eastAsia="Calibri" w:hAnsi="Calibri"/>
          <w:b/>
          <w:bCs/>
          <w:color w:val="1F3864"/>
          <w:sz w:val="30"/>
          <w:szCs w:val="30"/>
        </w:rPr>
        <w:t xml:space="preserve">10  Risiken und offene Punkte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3400"/>
        <w:gridCol w:w="2200"/>
        <w:gridCol w:w="3038"/>
      </w:tblGrid>
      <w:tr>
        <w:trPr>
          <w:tblHeader/>
        </w:trPr>
        <w:tc>
          <w:tcPr>
            <w:tcW w:type="dxa" w:w="10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Nr.</w:t>
            </w:r>
          </w:p>
        </w:tc>
        <w:tc>
          <w:tcPr>
            <w:tcW w:type="dxa" w:w="34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Risiko</w:t>
            </w:r>
          </w:p>
        </w:tc>
        <w:tc>
          <w:tcPr>
            <w:tcW w:type="dxa" w:w="2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Wirkung</w:t>
            </w:r>
          </w:p>
        </w:tc>
        <w:tc>
          <w:tcPr>
            <w:tcW w:type="dxa" w:w="30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Maßnahme</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Z1</w:t>
            </w:r>
          </w:p>
        </w:tc>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Gläubiger-ID in Stripe wird falsch konfiguriert und ist danach nicht mehr änderbar</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Neueinholung aller Mandate</w:t>
            </w:r>
          </w:p>
        </w:tc>
        <w:tc>
          <w:tcPr>
            <w:tcW w:type="dxa" w:w="3038"/>
            <w:tcMar>
              <w:top w:type="dxa" w:w="60"/>
              <w:left w:type="dxa" w:w="100"/>
              <w:bottom w:type="dxa" w:w="60"/>
              <w:right w:type="dxa" w:w="100"/>
            </w:tcMar>
          </w:tcPr>
          <w:p>
            <w:pPr>
              <w:spacing w:after="0" w:line="250"/>
            </w:pPr>
            <w:r>
              <w:rPr>
                <w:rFonts w:ascii="Calibri" w:cs="Calibri" w:eastAsia="Calibri" w:hAnsi="Calibri"/>
                <w:sz w:val="19"/>
                <w:szCs w:val="19"/>
              </w:rPr>
              <w:t xml:space="preserve">Konfiguration vor der ersten Live-Zahlung schriftlich bestätigen lassen</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Z2</w:t>
            </w:r>
          </w:p>
        </w:tc>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Kein Kontoauszugsimport in beiden Systemen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Überweisungen bleiben manuell</w:t>
            </w:r>
          </w:p>
        </w:tc>
        <w:tc>
          <w:tcPr>
            <w:tcW w:type="dxa" w:w="3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In der Demo prüfen; Anteil der Überweiser durch Umstellungsaktion senken</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Z3</w:t>
            </w:r>
          </w:p>
        </w:tc>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Kein in RZL importierbarer Buchhaltungsexport</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Übergabe an die Steuerberatung bleibt Handarbeit</w:t>
            </w:r>
          </w:p>
        </w:tc>
        <w:tc>
          <w:tcPr>
            <w:tcW w:type="dxa" w:w="3038"/>
            <w:tcMar>
              <w:top w:type="dxa" w:w="60"/>
              <w:left w:type="dxa" w:w="100"/>
              <w:bottom w:type="dxa" w:w="60"/>
              <w:right w:type="dxa" w:w="100"/>
            </w:tcMar>
          </w:tcPr>
          <w:p>
            <w:pPr>
              <w:spacing w:after="0" w:line="250"/>
            </w:pPr>
            <w:r>
              <w:rPr>
                <w:rFonts w:ascii="Calibri" w:cs="Calibri" w:eastAsia="Calibri" w:hAnsi="Calibri"/>
                <w:sz w:val="19"/>
                <w:szCs w:val="19"/>
              </w:rPr>
              <w:t xml:space="preserve">Musterexport vor der Entscheidung testweise importieren lassen</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Z4</w:t>
            </w:r>
          </w:p>
        </w:tc>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Mandate ohne Einzug in den letzten 36 Monaten sind verfallen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Einzug scheitert nach dem Cutover</w:t>
            </w:r>
          </w:p>
        </w:tc>
        <w:tc>
          <w:tcPr>
            <w:tcW w:type="dxa" w:w="3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Mandatsliste mit letztem Einzugsdatum prüfen</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Z5</w:t>
            </w:r>
          </w:p>
        </w:tc>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Stripe-Auszahlungen sind in der Buchhaltung nicht auflösbar</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Mehraufwand im Monatsabschluss</w:t>
            </w:r>
          </w:p>
        </w:tc>
        <w:tc>
          <w:tcPr>
            <w:tcW w:type="dxa" w:w="3038"/>
            <w:tcMar>
              <w:top w:type="dxa" w:w="60"/>
              <w:left w:type="dxa" w:w="100"/>
              <w:bottom w:type="dxa" w:w="60"/>
              <w:right w:type="dxa" w:w="100"/>
            </w:tcMar>
          </w:tcPr>
          <w:p>
            <w:pPr>
              <w:spacing w:after="0" w:line="250"/>
            </w:pPr>
            <w:r>
              <w:rPr>
                <w:rFonts w:ascii="Calibri" w:cs="Calibri" w:eastAsia="Calibri" w:hAnsi="Calibri"/>
                <w:sz w:val="19"/>
                <w:szCs w:val="19"/>
              </w:rPr>
              <w:t xml:space="preserve">Mit Steuerberatung vorab klären, Exportbeispiel anfordern</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Z6</w:t>
            </w:r>
          </w:p>
        </w:tc>
        <w:tc>
          <w:tcPr>
            <w:tcW w:type="dxa" w:w="34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Deutschsprachigkeit der Kundendokumente bei Stora nicht gegeben</w:t>
            </w:r>
          </w:p>
        </w:tc>
        <w:tc>
          <w:tcPr>
            <w:tcW w:type="dxa" w:w="2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Ausschlusskriterium</w:t>
            </w:r>
          </w:p>
        </w:tc>
        <w:tc>
          <w:tcPr>
            <w:tcW w:type="dxa" w:w="3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In der Demo an echten Vorlagen prüfen</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Z7</w:t>
            </w:r>
          </w:p>
        </w:tc>
        <w:tc>
          <w:tcPr>
            <w:tcW w:type="dxa" w:w="3400"/>
            <w:tcMar>
              <w:top w:type="dxa" w:w="60"/>
              <w:left w:type="dxa" w:w="100"/>
              <w:bottom w:type="dxa" w:w="60"/>
              <w:right w:type="dxa" w:w="100"/>
            </w:tcMar>
          </w:tcPr>
          <w:p>
            <w:pPr>
              <w:spacing w:after="0" w:line="250"/>
            </w:pPr>
            <w:r>
              <w:rPr>
                <w:rFonts w:ascii="Calibri" w:cs="Calibri" w:eastAsia="Calibri" w:hAnsi="Calibri"/>
                <w:sz w:val="19"/>
                <w:szCs w:val="19"/>
              </w:rPr>
              <w:t xml:space="preserve">Zuordnung Kunde zu Lagerabteil unvollständig</w:t>
            </w:r>
          </w:p>
        </w:tc>
        <w:tc>
          <w:tcPr>
            <w:tcW w:type="dxa" w:w="2200"/>
            <w:tcMar>
              <w:top w:type="dxa" w:w="60"/>
              <w:left w:type="dxa" w:w="100"/>
              <w:bottom w:type="dxa" w:w="60"/>
              <w:right w:type="dxa" w:w="100"/>
            </w:tcMar>
          </w:tcPr>
          <w:p>
            <w:pPr>
              <w:spacing w:after="0" w:line="250"/>
            </w:pPr>
            <w:r>
              <w:rPr>
                <w:rFonts w:ascii="Calibri" w:cs="Calibri" w:eastAsia="Calibri" w:hAnsi="Calibri"/>
                <w:sz w:val="19"/>
                <w:szCs w:val="19"/>
              </w:rPr>
              <w:t xml:space="preserve">Fehler in Abrechnung und Belegung</w:t>
            </w:r>
          </w:p>
        </w:tc>
        <w:tc>
          <w:tcPr>
            <w:tcW w:type="dxa" w:w="3038"/>
            <w:tcMar>
              <w:top w:type="dxa" w:w="60"/>
              <w:left w:type="dxa" w:w="100"/>
              <w:bottom w:type="dxa" w:w="60"/>
              <w:right w:type="dxa" w:w="100"/>
            </w:tcMar>
          </w:tcPr>
          <w:p>
            <w:pPr>
              <w:spacing w:after="0" w:line="250"/>
            </w:pPr>
            <w:r>
              <w:rPr>
                <w:rFonts w:ascii="Calibri" w:cs="Calibri" w:eastAsia="Calibri" w:hAnsi="Calibri"/>
                <w:sz w:val="19"/>
                <w:szCs w:val="19"/>
              </w:rPr>
              <w:t xml:space="preserve">Liste aufbauen und vor Ort begehen</w:t>
            </w:r>
          </w:p>
        </w:tc>
      </w:tr>
    </w:tbl>
    <w:p>
      <w:r>
        <w:br w:type="page"/>
      </w:r>
    </w:p>
    <w:p>
      <w:pPr>
        <w:pStyle w:val="Heading1"/>
        <w:spacing w:after="180" w:before="360"/>
      </w:pPr>
      <w:r>
        <w:rPr>
          <w:rFonts w:ascii="Calibri" w:cs="Calibri" w:eastAsia="Calibri" w:hAnsi="Calibri"/>
          <w:b/>
          <w:bCs/>
          <w:color w:val="1F3864"/>
          <w:sz w:val="30"/>
          <w:szCs w:val="30"/>
        </w:rPr>
        <w:t xml:space="preserve">11  Fragenkatalog an beide Anbieter</w:t>
      </w:r>
    </w:p>
    <w:p>
      <w:pPr>
        <w:spacing w:after="120" w:line="276"/>
      </w:pPr>
      <w:r>
        <w:rPr>
          <w:rFonts w:ascii="Calibri" w:cs="Calibri" w:eastAsia="Calibri" w:hAnsi="Calibri"/>
          <w:sz w:val="21"/>
          <w:szCs w:val="21"/>
        </w:rPr>
        <w:t xml:space="preserve">Diese Fragen sind vor der Entscheidung schriftlich zu beantworten oder in der Demo zu zeigen. Selbstauskunft ohne Vorführung zählt nicht.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5100"/>
        <w:gridCol w:w="3638"/>
      </w:tblGrid>
      <w:tr>
        <w:trPr>
          <w:tblHeader/>
        </w:trPr>
        <w:tc>
          <w:tcPr>
            <w:tcW w:type="dxa" w:w="9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Nr.</w:t>
            </w:r>
          </w:p>
        </w:tc>
        <w:tc>
          <w:tcPr>
            <w:tcW w:type="dxa" w:w="51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Frage</w:t>
            </w:r>
          </w:p>
        </w:tc>
        <w:tc>
          <w:tcPr>
            <w:tcW w:type="dxa" w:w="36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Warum sie zählt</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Z-01</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Können wir SEPA-Lastschriften unter unserer eigenen Gläubiger-ID einziehen – über unsere Hausbank oder über den Zahlungsdienstleister?</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entscheidet, ob die Bestandsmandate erhalten bleiben</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Z-02</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Erzeugt das System eine SEPA-Einzugsdatei (pain.008) für den Upload in unser Electronic Banking?</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Voraussetzung für Modell A und C</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Z-03</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Können bestehende Mandate mit IBAN, Mandatsreferenz und Erteilungsdatum importiert werden?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verhindert die Neueinholung</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Z-04</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Kann das System einen Bankkontoauszug (CAMT.053 oder MT940) einlesen und Zahlungen automatisch zuordnen?</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einziger Weg, Überweisungen zu automatisieren</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Z-05</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Wie werden Rücklastschriften verarbeitet, und lösen sie automatisch eine Mahnstufe aus?</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Kern der Automatisierung</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Z-06</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Können Bestandskunden und Neukunden dauerhaft unterschiedliche Zahlungswege nutzen?</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Voraussetzung für den Hybrid</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Z-07</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Kann die Kundin oder der Kunde die Zahlungsart selbst im Portal ändern, ohne unser Zutun?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entlastet das Büro dauerhaft</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Z-08</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Wie werden Stripe-Auszahlungen und -Gebühren im Buchhaltungsexport dargestellt?</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Voraussetzung für eine saubere Verbuchung</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Z-09</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Bitte einen echten Buchhaltungsexport eines Monats zeigen. Sind Konten und Steuerschlüssel frei konfigurierbar?</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RZL-Tauglichkeit</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Z-10</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Bitte eine Musterrechnung für einen österreichischen Firmenkunden zeigen, mit UID und Umsatzsteuerausweis.</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Rechtskonformität</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Z-11</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Sind Vertrag, Rechnung, Mahnung und alle Kunden-E-Mails auf Deutsch und von uns änderbar? Bitte einen Text live ändern.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Ausschlusskriterium</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Z-12</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Wie werden Kautionen geführt – als Erlös oder als durchlaufender Posten?</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steuerliche Behandlung</w:t>
            </w:r>
          </w:p>
        </w:tc>
      </w:tr>
      <w:tr>
        <w:tc>
          <w:tcPr>
            <w:tcW w:type="dxa" w:w="900"/>
            <w:tcMar>
              <w:top w:type="dxa" w:w="60"/>
              <w:left w:type="dxa" w:w="100"/>
              <w:bottom w:type="dxa" w:w="60"/>
              <w:right w:type="dxa" w:w="100"/>
            </w:tcMar>
          </w:tcPr>
          <w:p>
            <w:pPr>
              <w:spacing w:after="0" w:line="250"/>
            </w:pPr>
            <w:r>
              <w:rPr>
                <w:rFonts w:ascii="Calibri" w:cs="Calibri" w:eastAsia="Calibri" w:hAnsi="Calibri"/>
                <w:sz w:val="19"/>
                <w:szCs w:val="19"/>
              </w:rPr>
              <w:t xml:space="preserve">Z-13</w:t>
            </w:r>
          </w:p>
        </w:tc>
        <w:tc>
          <w:tcPr>
            <w:tcW w:type="dxa" w:w="5100"/>
            <w:tcMar>
              <w:top w:type="dxa" w:w="60"/>
              <w:left w:type="dxa" w:w="100"/>
              <w:bottom w:type="dxa" w:w="60"/>
              <w:right w:type="dxa" w:w="100"/>
            </w:tcMar>
          </w:tcPr>
          <w:p>
            <w:pPr>
              <w:spacing w:after="0" w:line="250"/>
            </w:pPr>
            <w:r>
              <w:rPr>
                <w:rFonts w:ascii="Calibri" w:cs="Calibri" w:eastAsia="Calibri" w:hAnsi="Calibri"/>
                <w:sz w:val="19"/>
                <w:szCs w:val="19"/>
              </w:rPr>
              <w:t xml:space="preserve">Welche Entgelte fallen je Zahlungsart und je Rückläufer an?</w:t>
            </w:r>
          </w:p>
        </w:tc>
        <w:tc>
          <w:tcPr>
            <w:tcW w:type="dxa" w:w="3638"/>
            <w:tcMar>
              <w:top w:type="dxa" w:w="60"/>
              <w:left w:type="dxa" w:w="100"/>
              <w:bottom w:type="dxa" w:w="60"/>
              <w:right w:type="dxa" w:w="100"/>
            </w:tcMar>
          </w:tcPr>
          <w:p>
            <w:pPr>
              <w:spacing w:after="0" w:line="250"/>
            </w:pPr>
            <w:r>
              <w:rPr>
                <w:rFonts w:ascii="Calibri" w:cs="Calibri" w:eastAsia="Calibri" w:hAnsi="Calibri"/>
                <w:sz w:val="19"/>
                <w:szCs w:val="19"/>
              </w:rPr>
              <w:t xml:space="preserve">Kostenvergleich über 36 Monate</w:t>
            </w:r>
          </w:p>
        </w:tc>
      </w:tr>
      <w:tr>
        <w:tc>
          <w:tcPr>
            <w:tcW w:type="dxa" w:w="9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Z-14</w:t>
            </w:r>
          </w:p>
        </w:tc>
        <w:tc>
          <w:tcPr>
            <w:tcW w:type="dxa" w:w="51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Wie erfolgt ein selektiver Rechnungslauf für einzelne Verträge?</w:t>
            </w:r>
          </w:p>
        </w:tc>
        <w:tc>
          <w:tcPr>
            <w:tcW w:type="dxa" w:w="36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Anforderung aus Phase 1</w:t>
            </w:r>
          </w:p>
        </w:tc>
      </w:tr>
    </w:tbl>
    <w:p>
      <w:r>
        <w:br w:type="page"/>
      </w:r>
    </w:p>
    <w:p>
      <w:pPr>
        <w:pStyle w:val="Heading1"/>
        <w:spacing w:after="180" w:before="360"/>
      </w:pPr>
      <w:r>
        <w:rPr>
          <w:rFonts w:ascii="Calibri" w:cs="Calibri" w:eastAsia="Calibri" w:hAnsi="Calibri"/>
          <w:b/>
          <w:bCs/>
          <w:color w:val="1F3864"/>
          <w:sz w:val="30"/>
          <w:szCs w:val="30"/>
        </w:rPr>
        <w:t xml:space="preserve">12  Empfehlung und nächste Schritte</w:t>
      </w:r>
    </w:p>
    <w:p>
      <w:pPr>
        <w:pStyle w:val="Heading2"/>
        <w:spacing w:after="140" w:before="260"/>
      </w:pPr>
      <w:r>
        <w:rPr>
          <w:rFonts w:ascii="Calibri" w:cs="Calibri" w:eastAsia="Calibri" w:hAnsi="Calibri"/>
          <w:b/>
          <w:bCs/>
          <w:color w:val="1F3864"/>
          <w:sz w:val="24"/>
          <w:szCs w:val="24"/>
        </w:rPr>
        <w:t xml:space="preserve">12.1  Empfehlung</w:t>
      </w:r>
    </w:p>
    <w:p>
      <w:pPr>
        <w:pStyle w:val="ListParagraph"/>
        <w:numPr>
          <w:ilvl w:val="0"/>
          <w:numId w:val="2"/>
        </w:numPr>
        <w:spacing w:after="80" w:line="276"/>
      </w:pPr>
      <w:r>
        <w:rPr>
          <w:rFonts w:ascii="Calibri" w:cs="Calibri" w:eastAsia="Calibri" w:hAnsi="Calibri"/>
          <w:sz w:val="21"/>
          <w:szCs w:val="21"/>
        </w:rPr>
        <w:t xml:space="preserve">Betriebsmodell: Hybrid (Modell C). Bestand bleibt zunächst beim Einzug über die eigene Bank, Neuverträge und Online-Buchungen laufen über Stripe. Kartenzahlung wird angeboten, aber nicht zur Standardzahlungsart gemacht.</w:t>
      </w:r>
    </w:p>
    <w:p>
      <w:pPr>
        <w:pStyle w:val="ListParagraph"/>
        <w:numPr>
          <w:ilvl w:val="0"/>
          <w:numId w:val="2"/>
        </w:numPr>
        <w:spacing w:after="80" w:line="276"/>
      </w:pPr>
      <w:r>
        <w:rPr>
          <w:rFonts w:ascii="Calibri" w:cs="Calibri" w:eastAsia="Calibri" w:hAnsi="Calibri"/>
          <w:sz w:val="21"/>
          <w:szCs w:val="21"/>
        </w:rPr>
        <w:t xml:space="preserve">System: Kinnovis, vorbehaltlich der Demos – weil nur dieses System nach heutigem Kenntnisstand beide Zahlungswege parallel unterstützt und mit dem DATEV-Report einen belastbaren Weg zu RZL bietet.</w:t>
      </w:r>
    </w:p>
    <w:p>
      <w:pPr>
        <w:pStyle w:val="ListParagraph"/>
        <w:numPr>
          <w:ilvl w:val="0"/>
          <w:numId w:val="2"/>
        </w:numPr>
        <w:spacing w:after="80" w:line="276"/>
      </w:pPr>
      <w:r>
        <w:rPr>
          <w:rFonts w:ascii="Calibri" w:cs="Calibri" w:eastAsia="Calibri" w:hAnsi="Calibri"/>
          <w:sz w:val="21"/>
          <w:szCs w:val="21"/>
        </w:rPr>
        <w:t xml:space="preserve">Stora bleibt gleichrangig in der Demo. Wenn Stora die Punkte Sprache, österreichische Rechnungslogik und RZL-Export belegen kann, ist der Preisvorteil und die ausgereiftere Buchungsstrecke ein starkes Gegenargument – dann allerdings mit vollständiger Umstellung auf Stripe.</w:t>
      </w:r>
    </w:p>
    <w:p>
      <w:pPr>
        <w:pStyle w:val="Heading2"/>
        <w:spacing w:after="140" w:before="260"/>
      </w:pPr>
      <w:r>
        <w:rPr>
          <w:rFonts w:ascii="Calibri" w:cs="Calibri" w:eastAsia="Calibri" w:hAnsi="Calibri"/>
          <w:b/>
          <w:bCs/>
          <w:color w:val="1F3864"/>
          <w:sz w:val="24"/>
          <w:szCs w:val="24"/>
        </w:rPr>
        <w:t xml:space="preserve">12.2  Nächste Schritte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5200"/>
        <w:gridCol w:w="3438"/>
      </w:tblGrid>
      <w:tr>
        <w:trPr>
          <w:tblHeader/>
        </w:trPr>
        <w:tc>
          <w:tcPr>
            <w:tcW w:type="dxa" w:w="10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Nr.</w:t>
            </w:r>
          </w:p>
        </w:tc>
        <w:tc>
          <w:tcPr>
            <w:tcW w:type="dxa" w:w="52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Schritt</w:t>
            </w:r>
          </w:p>
        </w:tc>
        <w:tc>
          <w:tcPr>
            <w:tcW w:type="dxa" w:w="34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Termin</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1</w:t>
            </w:r>
          </w:p>
        </w:tc>
        <w:tc>
          <w:tcPr>
            <w:tcW w:type="dxa" w:w="5200"/>
            <w:tcMar>
              <w:top w:type="dxa" w:w="60"/>
              <w:left w:type="dxa" w:w="100"/>
              <w:bottom w:type="dxa" w:w="60"/>
              <w:right w:type="dxa" w:w="100"/>
            </w:tcMar>
          </w:tcPr>
          <w:p>
            <w:pPr>
              <w:spacing w:after="0" w:line="250"/>
            </w:pPr>
            <w:r>
              <w:rPr>
                <w:rFonts w:ascii="Calibri" w:cs="Calibri" w:eastAsia="Calibri" w:hAnsi="Calibri"/>
                <w:sz w:val="19"/>
                <w:szCs w:val="19"/>
              </w:rPr>
              <w:t xml:space="preserve">Mandatsliste aus Bank und Mandatsunterlagen aufbauen (IBAN, Referenz, Datum, letzter Einzug)</w:t>
            </w:r>
          </w:p>
        </w:tc>
        <w:tc>
          <w:tcPr>
            <w:tcW w:type="dxa" w:w="3438"/>
            <w:tcMar>
              <w:top w:type="dxa" w:w="60"/>
              <w:left w:type="dxa" w:w="100"/>
              <w:bottom w:type="dxa" w:w="60"/>
              <w:right w:type="dxa" w:w="100"/>
            </w:tcMar>
          </w:tcPr>
          <w:p>
            <w:pPr>
              <w:spacing w:after="0" w:line="250"/>
            </w:pPr>
            <w:r>
              <w:rPr>
                <w:rFonts w:ascii="Calibri" w:cs="Calibri" w:eastAsia="Calibri" w:hAnsi="Calibri"/>
                <w:sz w:val="19"/>
                <w:szCs w:val="19"/>
              </w:rPr>
              <w:t xml:space="preserve">Woche 1</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2</w:t>
            </w:r>
          </w:p>
        </w:tc>
        <w:tc>
          <w:tcPr>
            <w:tcW w:type="dxa" w:w="5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Gläubiger-ID und Anzahl der Überweiser dokumentieren</w:t>
            </w:r>
          </w:p>
        </w:tc>
        <w:tc>
          <w:tcPr>
            <w:tcW w:type="dxa" w:w="3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Woche 1</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3</w:t>
            </w:r>
          </w:p>
        </w:tc>
        <w:tc>
          <w:tcPr>
            <w:tcW w:type="dxa" w:w="5200"/>
            <w:tcMar>
              <w:top w:type="dxa" w:w="60"/>
              <w:left w:type="dxa" w:w="100"/>
              <w:bottom w:type="dxa" w:w="60"/>
              <w:right w:type="dxa" w:w="100"/>
            </w:tcMar>
          </w:tcPr>
          <w:p>
            <w:pPr>
              <w:spacing w:after="0" w:line="250"/>
            </w:pPr>
            <w:r>
              <w:rPr>
                <w:rFonts w:ascii="Calibri" w:cs="Calibri" w:eastAsia="Calibri" w:hAnsi="Calibri"/>
                <w:sz w:val="19"/>
                <w:szCs w:val="19"/>
              </w:rPr>
              <w:t xml:space="preserve">Fragenkatalog Z-01 bis Z-14 an beide Anbieter senden</w:t>
            </w:r>
          </w:p>
        </w:tc>
        <w:tc>
          <w:tcPr>
            <w:tcW w:type="dxa" w:w="3438"/>
            <w:tcMar>
              <w:top w:type="dxa" w:w="60"/>
              <w:left w:type="dxa" w:w="100"/>
              <w:bottom w:type="dxa" w:w="60"/>
              <w:right w:type="dxa" w:w="100"/>
            </w:tcMar>
          </w:tcPr>
          <w:p>
            <w:pPr>
              <w:spacing w:after="0" w:line="250"/>
            </w:pPr>
            <w:r>
              <w:rPr>
                <w:rFonts w:ascii="Calibri" w:cs="Calibri" w:eastAsia="Calibri" w:hAnsi="Calibri"/>
                <w:sz w:val="19"/>
                <w:szCs w:val="19"/>
              </w:rPr>
              <w:t xml:space="preserve">Woche 2</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4</w:t>
            </w:r>
          </w:p>
        </w:tc>
        <w:tc>
          <w:tcPr>
            <w:tcW w:type="dxa" w:w="5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Musterexport für die Buchhaltung anfordern und von der Steuerberatung testweise in RZL importieren lassen</w:t>
            </w:r>
          </w:p>
        </w:tc>
        <w:tc>
          <w:tcPr>
            <w:tcW w:type="dxa" w:w="3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Woche 2 bis 3</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5</w:t>
            </w:r>
          </w:p>
        </w:tc>
        <w:tc>
          <w:tcPr>
            <w:tcW w:type="dxa" w:w="5200"/>
            <w:tcMar>
              <w:top w:type="dxa" w:w="60"/>
              <w:left w:type="dxa" w:w="100"/>
              <w:bottom w:type="dxa" w:w="60"/>
              <w:right w:type="dxa" w:w="100"/>
            </w:tcMar>
          </w:tcPr>
          <w:p>
            <w:pPr>
              <w:spacing w:after="0" w:line="250"/>
            </w:pPr>
            <w:r>
              <w:rPr>
                <w:rFonts w:ascii="Calibri" w:cs="Calibri" w:eastAsia="Calibri" w:hAnsi="Calibri"/>
                <w:sz w:val="19"/>
                <w:szCs w:val="19"/>
              </w:rPr>
              <w:t xml:space="preserve">Demos nach Drehbuch, beide Anbieter, mit echten Testfällen</w:t>
            </w:r>
          </w:p>
        </w:tc>
        <w:tc>
          <w:tcPr>
            <w:tcW w:type="dxa" w:w="3438"/>
            <w:tcMar>
              <w:top w:type="dxa" w:w="60"/>
              <w:left w:type="dxa" w:w="100"/>
              <w:bottom w:type="dxa" w:w="60"/>
              <w:right w:type="dxa" w:w="100"/>
            </w:tcMar>
          </w:tcPr>
          <w:p>
            <w:pPr>
              <w:spacing w:after="0" w:line="250"/>
            </w:pPr>
            <w:r>
              <w:rPr>
                <w:rFonts w:ascii="Calibri" w:cs="Calibri" w:eastAsia="Calibri" w:hAnsi="Calibri"/>
                <w:sz w:val="19"/>
                <w:szCs w:val="19"/>
              </w:rPr>
              <w:t xml:space="preserve">Woche 3 bis 4</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6</w:t>
            </w:r>
          </w:p>
        </w:tc>
        <w:tc>
          <w:tcPr>
            <w:tcW w:type="dxa" w:w="5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Angebote über 36 Monate einholen, bei Stora mit Tarifzuordnung</w:t>
            </w:r>
          </w:p>
        </w:tc>
        <w:tc>
          <w:tcPr>
            <w:tcW w:type="dxa" w:w="3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Woche 4</w:t>
            </w:r>
          </w:p>
        </w:tc>
      </w:tr>
      <w:tr>
        <w:tc>
          <w:tcPr>
            <w:tcW w:type="dxa" w:w="1000"/>
            <w:tcMar>
              <w:top w:type="dxa" w:w="60"/>
              <w:left w:type="dxa" w:w="100"/>
              <w:bottom w:type="dxa" w:w="60"/>
              <w:right w:type="dxa" w:w="100"/>
            </w:tcMar>
          </w:tcPr>
          <w:p>
            <w:pPr>
              <w:spacing w:after="0" w:line="250"/>
            </w:pPr>
            <w:r>
              <w:rPr>
                <w:rFonts w:ascii="Calibri" w:cs="Calibri" w:eastAsia="Calibri" w:hAnsi="Calibri"/>
                <w:sz w:val="19"/>
                <w:szCs w:val="19"/>
              </w:rPr>
              <w:t xml:space="preserve">7</w:t>
            </w:r>
          </w:p>
        </w:tc>
        <w:tc>
          <w:tcPr>
            <w:tcW w:type="dxa" w:w="5200"/>
            <w:tcMar>
              <w:top w:type="dxa" w:w="60"/>
              <w:left w:type="dxa" w:w="100"/>
              <w:bottom w:type="dxa" w:w="60"/>
              <w:right w:type="dxa" w:w="100"/>
            </w:tcMar>
          </w:tcPr>
          <w:p>
            <w:pPr>
              <w:spacing w:after="0" w:line="250"/>
            </w:pPr>
            <w:r>
              <w:rPr>
                <w:rFonts w:ascii="Calibri" w:cs="Calibri" w:eastAsia="Calibri" w:hAnsi="Calibri"/>
                <w:sz w:val="19"/>
                <w:szCs w:val="19"/>
              </w:rPr>
              <w:t xml:space="preserve">Entscheidung und Dokumentation im Entscheidungslog</w:t>
            </w:r>
          </w:p>
        </w:tc>
        <w:tc>
          <w:tcPr>
            <w:tcW w:type="dxa" w:w="3438"/>
            <w:tcMar>
              <w:top w:type="dxa" w:w="60"/>
              <w:left w:type="dxa" w:w="100"/>
              <w:bottom w:type="dxa" w:w="60"/>
              <w:right w:type="dxa" w:w="100"/>
            </w:tcMar>
          </w:tcPr>
          <w:p>
            <w:pPr>
              <w:spacing w:after="0" w:line="250"/>
            </w:pPr>
            <w:r>
              <w:rPr>
                <w:rFonts w:ascii="Calibri" w:cs="Calibri" w:eastAsia="Calibri" w:hAnsi="Calibri"/>
                <w:sz w:val="19"/>
                <w:szCs w:val="19"/>
              </w:rPr>
              <w:t xml:space="preserve">Woche 5</w:t>
            </w:r>
          </w:p>
        </w:tc>
      </w:tr>
      <w:tr>
        <w:tc>
          <w:tcPr>
            <w:tcW w:type="dxa" w:w="10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8</w:t>
            </w:r>
          </w:p>
        </w:tc>
        <w:tc>
          <w:tcPr>
            <w:tcW w:type="dxa" w:w="52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Umstellungsaktion für Überweiser vorbereiten</w:t>
            </w:r>
          </w:p>
        </w:tc>
        <w:tc>
          <w:tcPr>
            <w:tcW w:type="dxa" w:w="34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parallel ab Woche 3</w:t>
            </w:r>
          </w:p>
        </w:tc>
      </w:tr>
    </w:tbl>
    <w:p>
      <w:pPr>
        <w:spacing w:after="160"/>
      </w:pPr>
    </w:p>
    <w:p>
      <w:pPr>
        <w:spacing w:after="120" w:line="276"/>
      </w:pPr>
      <w:r>
        <w:rPr>
          <w:rFonts w:ascii="Calibri" w:cs="Calibri" w:eastAsia="Calibri" w:hAnsi="Calibri"/>
          <w:b/>
          <w:bCs/>
          <w:sz w:val="21"/>
          <w:szCs w:val="21"/>
        </w:rPr>
        <w:t xml:space="preserve">Der kritische Pfad läuft über Schritt 4. </w:t>
      </w:r>
      <w:r>
        <w:rPr>
          <w:rFonts w:ascii="Calibri" w:cs="Calibri" w:eastAsia="Calibri" w:hAnsi="Calibri"/>
          <w:sz w:val="21"/>
          <w:szCs w:val="21"/>
        </w:rPr>
        <w:t xml:space="preserve">Die Buchhaltungsschnittstelle ist die einzige Anforderung, an der beide Kandidaten scheitern können – und sie lässt sich in wenigen Tagen prüfen, wenn der Musterexport früh angefordert wird.</w:t>
      </w:r>
    </w:p>
    <w:p>
      <w:r>
        <w:br w:type="page"/>
      </w:r>
    </w:p>
    <w:p>
      <w:pPr>
        <w:pStyle w:val="Heading1"/>
        <w:spacing w:after="180" w:before="360"/>
      </w:pPr>
      <w:r>
        <w:rPr>
          <w:rFonts w:ascii="Calibri" w:cs="Calibri" w:eastAsia="Calibri" w:hAnsi="Calibri"/>
          <w:b/>
          <w:bCs/>
          <w:color w:val="1F3864"/>
          <w:sz w:val="30"/>
          <w:szCs w:val="30"/>
        </w:rPr>
        <w:t xml:space="preserve">Anhang A  Quellen</w:t>
      </w:r>
    </w:p>
    <w:p>
      <w:pPr>
        <w:spacing w:after="120" w:line="276"/>
      </w:pPr>
      <w:r>
        <w:rPr>
          <w:rFonts w:ascii="Calibri" w:cs="Calibri" w:eastAsia="Calibri" w:hAnsi="Calibri"/>
          <w:sz w:val="21"/>
          <w:szCs w:val="21"/>
        </w:rPr>
        <w:t xml:space="preserve">Recherchestand 06.09.2026. Anbieterangaben sind Marketing- beziehungsweise Portalangaben und werden erst durch Angebot und Demo verbindlich.</w:t>
      </w:r>
    </w:p>
    <w:p>
      <w:pPr>
        <w:pStyle w:val="Heading2"/>
        <w:spacing w:after="140" w:before="260"/>
      </w:pPr>
      <w:r>
        <w:rPr>
          <w:rFonts w:ascii="Calibri" w:cs="Calibri" w:eastAsia="Calibri" w:hAnsi="Calibri"/>
          <w:b/>
          <w:bCs/>
          <w:color w:val="1F3864"/>
          <w:sz w:val="24"/>
          <w:szCs w:val="24"/>
        </w:rPr>
        <w:t xml:space="preserve">Kinnovis</w:t>
      </w:r>
    </w:p>
    <w:p>
      <w:pPr>
        <w:pStyle w:val="ListParagraph"/>
        <w:numPr>
          <w:ilvl w:val="0"/>
          <w:numId w:val="3"/>
        </w:numPr>
        <w:spacing w:after="80" w:line="276"/>
      </w:pPr>
      <w:r>
        <w:rPr>
          <w:rFonts w:ascii="Calibri" w:cs="Calibri" w:eastAsia="Calibri" w:hAnsi="Calibri"/>
          <w:sz w:val="21"/>
          <w:szCs w:val="21"/>
        </w:rPr>
        <w:t xml:space="preserve">Unternehmensgeschichte und Ursprung in Österreich: kinnovis.com/about-us</w:t>
      </w:r>
    </w:p>
    <w:p>
      <w:pPr>
        <w:pStyle w:val="ListParagraph"/>
        <w:numPr>
          <w:ilvl w:val="0"/>
          <w:numId w:val="3"/>
        </w:numPr>
        <w:spacing w:after="80" w:line="276"/>
      </w:pPr>
      <w:r>
        <w:rPr>
          <w:rFonts w:ascii="Calibri" w:cs="Calibri" w:eastAsia="Calibri" w:hAnsi="Calibri"/>
          <w:sz w:val="21"/>
          <w:szCs w:val="21"/>
        </w:rPr>
        <w:t xml:space="preserve">Plattformumfang, Facility Map, Buchungsportal: kinnovis.com/platform-overview, kinnovis.com/facility-map, kinnovis.com/booking-portal</w:t>
      </w:r>
    </w:p>
    <w:p>
      <w:pPr>
        <w:pStyle w:val="ListParagraph"/>
        <w:numPr>
          <w:ilvl w:val="0"/>
          <w:numId w:val="3"/>
        </w:numPr>
        <w:spacing w:after="80" w:line="276"/>
      </w:pPr>
      <w:r>
        <w:rPr>
          <w:rFonts w:ascii="Calibri" w:cs="Calibri" w:eastAsia="Calibri" w:hAnsi="Calibri"/>
          <w:sz w:val="21"/>
          <w:szCs w:val="21"/>
        </w:rPr>
        <w:t xml:space="preserve">Integrationen inklusive DATEV-Report, Stripe, Stripe Identity, Sensorberg, Tapkey, JANUS, Signable, Xero: kinnovis.com/integrations</w:t>
      </w:r>
    </w:p>
    <w:p>
      <w:pPr>
        <w:pStyle w:val="ListParagraph"/>
        <w:numPr>
          <w:ilvl w:val="0"/>
          <w:numId w:val="3"/>
        </w:numPr>
        <w:spacing w:after="80" w:line="276"/>
      </w:pPr>
      <w:r>
        <w:rPr>
          <w:rFonts w:ascii="Calibri" w:cs="Calibri" w:eastAsia="Calibri" w:hAnsi="Calibri"/>
          <w:sz w:val="21"/>
          <w:szCs w:val="21"/>
        </w:rPr>
        <w:t xml:space="preserve">SEPA-Lastschrift per XML-Export über die Bank: help.kinnovis.com</w:t>
      </w:r>
    </w:p>
    <w:p>
      <w:pPr>
        <w:pStyle w:val="ListParagraph"/>
        <w:numPr>
          <w:ilvl w:val="0"/>
          <w:numId w:val="3"/>
        </w:numPr>
        <w:spacing w:after="80" w:line="276"/>
      </w:pPr>
      <w:r>
        <w:rPr>
          <w:rFonts w:ascii="Calibri" w:cs="Calibri" w:eastAsia="Calibri" w:hAnsi="Calibri"/>
          <w:sz w:val="21"/>
          <w:szCs w:val="21"/>
        </w:rPr>
        <w:t xml:space="preserve">Öffentliche API: kinnovis.com/public-api</w:t>
      </w:r>
    </w:p>
    <w:p>
      <w:pPr>
        <w:pStyle w:val="ListParagraph"/>
        <w:numPr>
          <w:ilvl w:val="0"/>
          <w:numId w:val="3"/>
        </w:numPr>
        <w:spacing w:after="80" w:line="276"/>
      </w:pPr>
      <w:r>
        <w:rPr>
          <w:rFonts w:ascii="Calibri" w:cs="Calibri" w:eastAsia="Calibri" w:hAnsi="Calibri"/>
          <w:sz w:val="21"/>
          <w:szCs w:val="21"/>
        </w:rPr>
        <w:t xml:space="preserve">Mitgliedschaft im Self-Storage-Verband: selfstorage-verband.de/mitglieder/kinnovis-gmbh</w:t>
      </w:r>
    </w:p>
    <w:p>
      <w:pPr>
        <w:pStyle w:val="Heading2"/>
        <w:spacing w:after="140" w:before="260"/>
      </w:pPr>
      <w:r>
        <w:rPr>
          <w:rFonts w:ascii="Calibri" w:cs="Calibri" w:eastAsia="Calibri" w:hAnsi="Calibri"/>
          <w:b/>
          <w:bCs/>
          <w:color w:val="1F3864"/>
          <w:sz w:val="24"/>
          <w:szCs w:val="24"/>
        </w:rPr>
        <w:t xml:space="preserve">Stora</w:t>
      </w:r>
    </w:p>
    <w:p>
      <w:pPr>
        <w:pStyle w:val="ListParagraph"/>
        <w:numPr>
          <w:ilvl w:val="0"/>
          <w:numId w:val="3"/>
        </w:numPr>
        <w:spacing w:after="80" w:line="276"/>
      </w:pPr>
      <w:r>
        <w:rPr>
          <w:rFonts w:ascii="Calibri" w:cs="Calibri" w:eastAsia="Calibri" w:hAnsi="Calibri"/>
          <w:sz w:val="21"/>
          <w:szCs w:val="21"/>
        </w:rPr>
        <w:t xml:space="preserve">Zahlungsabwicklung über Stripe inklusive Karte, SEPA-Lastschrift und Link: stora.co/integrations/stripe, stora.co/features/payments</w:t>
      </w:r>
    </w:p>
    <w:p>
      <w:pPr>
        <w:pStyle w:val="ListParagraph"/>
        <w:numPr>
          <w:ilvl w:val="0"/>
          <w:numId w:val="3"/>
        </w:numPr>
        <w:spacing w:after="80" w:line="276"/>
      </w:pPr>
      <w:r>
        <w:rPr>
          <w:rFonts w:ascii="Calibri" w:cs="Calibri" w:eastAsia="Calibri" w:hAnsi="Calibri"/>
          <w:sz w:val="21"/>
          <w:szCs w:val="21"/>
        </w:rPr>
        <w:t xml:space="preserve">Manuelle Zahlungsarten und manuelle Erfassung des Zahlungseingangs: Stora Help Centre, Artikel zu manual payment subscriptions</w:t>
      </w:r>
    </w:p>
    <w:p>
      <w:pPr>
        <w:pStyle w:val="ListParagraph"/>
        <w:numPr>
          <w:ilvl w:val="0"/>
          <w:numId w:val="3"/>
        </w:numPr>
        <w:spacing w:after="80" w:line="276"/>
      </w:pPr>
      <w:r>
        <w:rPr>
          <w:rFonts w:ascii="Calibri" w:cs="Calibri" w:eastAsia="Calibri" w:hAnsi="Calibri"/>
          <w:sz w:val="21"/>
          <w:szCs w:val="21"/>
        </w:rPr>
        <w:t xml:space="preserve">Buchhaltung über Xero und QuickBooks: stora.co/integrations/xero, stora.co/integrations/accounting</w:t>
      </w:r>
    </w:p>
    <w:p>
      <w:pPr>
        <w:pStyle w:val="ListParagraph"/>
        <w:numPr>
          <w:ilvl w:val="0"/>
          <w:numId w:val="3"/>
        </w:numPr>
        <w:spacing w:after="80" w:line="276"/>
      </w:pPr>
      <w:r>
        <w:rPr>
          <w:rFonts w:ascii="Calibri" w:cs="Calibri" w:eastAsia="Calibri" w:hAnsi="Calibri"/>
          <w:sz w:val="21"/>
          <w:szCs w:val="21"/>
        </w:rPr>
        <w:t xml:space="preserve">Tarife und Konditionen: capterra.com Stora Pricing, stora.co/eu/pricing</w:t>
      </w:r>
    </w:p>
    <w:p>
      <w:pPr>
        <w:pStyle w:val="Heading2"/>
        <w:spacing w:after="140" w:before="260"/>
      </w:pPr>
      <w:r>
        <w:rPr>
          <w:rFonts w:ascii="Calibri" w:cs="Calibri" w:eastAsia="Calibri" w:hAnsi="Calibri"/>
          <w:b/>
          <w:bCs/>
          <w:color w:val="1F3864"/>
          <w:sz w:val="24"/>
          <w:szCs w:val="24"/>
        </w:rPr>
        <w:t xml:space="preserve">Zahlungsverkehr und Recht</w:t>
      </w:r>
    </w:p>
    <w:p>
      <w:pPr>
        <w:pStyle w:val="ListParagraph"/>
        <w:numPr>
          <w:ilvl w:val="0"/>
          <w:numId w:val="3"/>
        </w:numPr>
        <w:spacing w:after="80" w:line="276"/>
      </w:pPr>
      <w:r>
        <w:rPr>
          <w:rFonts w:ascii="Calibri" w:cs="Calibri" w:eastAsia="Calibri" w:hAnsi="Calibri"/>
          <w:sz w:val="21"/>
          <w:szCs w:val="21"/>
        </w:rPr>
        <w:t xml:space="preserve">Eigene Gläubiger-ID in Stripe, Änderung nach der ersten Live-Zahlung nicht mehr möglich: Stripe Support, SEPA creditor identifier</w:t>
      </w:r>
    </w:p>
    <w:p>
      <w:pPr>
        <w:pStyle w:val="ListParagraph"/>
        <w:numPr>
          <w:ilvl w:val="0"/>
          <w:numId w:val="3"/>
        </w:numPr>
        <w:spacing w:after="80" w:line="276"/>
      </w:pPr>
      <w:r>
        <w:rPr>
          <w:rFonts w:ascii="Calibri" w:cs="Calibri" w:eastAsia="Calibri" w:hAnsi="Calibri"/>
          <w:sz w:val="21"/>
          <w:szCs w:val="21"/>
        </w:rPr>
        <w:t xml:space="preserve">Portierung bestehender SEPA-Mandate zu Stripe: Stripe Support, Migrating SEPA Direct Debit mandates</w:t>
      </w:r>
    </w:p>
    <w:p>
      <w:pPr>
        <w:pStyle w:val="ListParagraph"/>
        <w:numPr>
          <w:ilvl w:val="0"/>
          <w:numId w:val="3"/>
        </w:numPr>
        <w:spacing w:after="80" w:line="276"/>
      </w:pPr>
      <w:r>
        <w:rPr>
          <w:rFonts w:ascii="Calibri" w:cs="Calibri" w:eastAsia="Calibri" w:hAnsi="Calibri"/>
          <w:sz w:val="21"/>
          <w:szCs w:val="21"/>
        </w:rPr>
        <w:t xml:space="preserve">Stripe-Konditionen Österreich: stripe.com/pricing</w:t>
      </w:r>
    </w:p>
    <w:p>
      <w:pPr>
        <w:pStyle w:val="ListParagraph"/>
        <w:numPr>
          <w:ilvl w:val="0"/>
          <w:numId w:val="3"/>
        </w:numPr>
        <w:spacing w:after="80" w:line="276"/>
      </w:pPr>
      <w:r>
        <w:rPr>
          <w:rFonts w:ascii="Calibri" w:cs="Calibri" w:eastAsia="Calibri" w:hAnsi="Calibri"/>
          <w:sz w:val="21"/>
          <w:szCs w:val="21"/>
        </w:rPr>
        <w:t xml:space="preserve">Gültigkeit und 36-Monats-Frist des SEPA-Mandats: GoCardless Handbuch, Sparkasse SEPA-Firmenlastschrift</w:t>
      </w:r>
    </w:p>
    <w:p>
      <w:pPr>
        <w:pStyle w:val="ListParagraph"/>
        <w:numPr>
          <w:ilvl w:val="0"/>
          <w:numId w:val="3"/>
        </w:numPr>
        <w:spacing w:after="80" w:line="276"/>
      </w:pPr>
      <w:r>
        <w:rPr>
          <w:rFonts w:ascii="Calibri" w:cs="Calibri" w:eastAsia="Calibri" w:hAnsi="Calibri"/>
          <w:sz w:val="21"/>
          <w:szCs w:val="21"/>
        </w:rPr>
        <w:t xml:space="preserve">Mandatsmigration mit Beibehaltung der eigenen Gläubiger-ID bei GoCardless: support.gocardless.com, SEPA bulk change process</w:t>
      </w:r>
    </w:p>
    <w:p>
      <w:pPr>
        <w:pStyle w:val="ListParagraph"/>
        <w:numPr>
          <w:ilvl w:val="0"/>
          <w:numId w:val="3"/>
        </w:numPr>
        <w:spacing w:after="80" w:line="276"/>
      </w:pPr>
      <w:r>
        <w:rPr>
          <w:rFonts w:ascii="Calibri" w:cs="Calibri" w:eastAsia="Calibri" w:hAnsi="Calibri"/>
          <w:sz w:val="21"/>
          <w:szCs w:val="21"/>
        </w:rPr>
        <w:t xml:space="preserve">RZL-Importwege über DATEV-CSV und RZL-eigenes Format: rzlsoftware.at, FIBU Import-Schnittstelle und DATEV-Schnittstelle</w:t>
      </w:r>
    </w:p>
    <w:p>
      <w:pPr>
        <w:pStyle w:val="ListParagraph"/>
        <w:numPr>
          <w:ilvl w:val="0"/>
          <w:numId w:val="3"/>
        </w:numPr>
        <w:spacing w:after="80" w:line="276"/>
      </w:pPr>
      <w:r>
        <w:rPr>
          <w:rFonts w:ascii="Calibri" w:cs="Calibri" w:eastAsia="Calibri" w:hAnsi="Calibri"/>
          <w:sz w:val="21"/>
          <w:szCs w:val="21"/>
        </w:rPr>
        <w:t xml:space="preserve">Exportfähigkeit von Zoho Subscriptions: zoho.com, Import und Export der Hilfe-Dokumentation</w:t>
      </w:r>
    </w:p>
    <w:p>
      <w:pPr>
        <w:spacing w:after="200"/>
      </w:pPr>
    </w:p>
    <w:p>
      <w:pPr>
        <w:pStyle w:val="Heading1"/>
        <w:spacing w:after="180" w:before="360"/>
      </w:pPr>
      <w:r>
        <w:rPr>
          <w:rFonts w:ascii="Calibri" w:cs="Calibri" w:eastAsia="Calibri" w:hAnsi="Calibri"/>
          <w:b/>
          <w:bCs/>
          <w:color w:val="1F3864"/>
          <w:sz w:val="30"/>
          <w:szCs w:val="30"/>
        </w:rPr>
        <w:t xml:space="preserve">Anhang B  Verweise in das Projekt-Repository</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6038"/>
      </w:tblGrid>
      <w:tr>
        <w:trPr>
          <w:tblHeader/>
        </w:trPr>
        <w:tc>
          <w:tcPr>
            <w:tcW w:type="dxa" w:w="3600"/>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Dokument</w:t>
            </w:r>
          </w:p>
        </w:tc>
        <w:tc>
          <w:tcPr>
            <w:tcW w:type="dxa" w:w="6038"/>
            <w:shd w:fill="1F3864"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Inhalt</w:t>
            </w:r>
          </w:p>
        </w:tc>
      </w:tr>
      <w:tr>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30_markt/benchmark_kinnovis_stora.md</w:t>
            </w:r>
          </w:p>
        </w:tc>
        <w:tc>
          <w:tcPr>
            <w:tcW w:type="dxa" w:w="6038"/>
            <w:tcMar>
              <w:top w:type="dxa" w:w="60"/>
              <w:left w:type="dxa" w:w="100"/>
              <w:bottom w:type="dxa" w:w="60"/>
              <w:right w:type="dxa" w:w="100"/>
            </w:tcMar>
          </w:tcPr>
          <w:p>
            <w:pPr>
              <w:spacing w:after="0" w:line="250"/>
            </w:pPr>
            <w:r>
              <w:rPr>
                <w:rFonts w:ascii="Calibri" w:cs="Calibri" w:eastAsia="Calibri" w:hAnsi="Calibri"/>
                <w:sz w:val="19"/>
                <w:szCs w:val="19"/>
              </w:rPr>
              <w:t xml:space="preserve">Ausführlicher Produktvergleich inklusive Antworten auf die sechs Fragen des Auftraggebers</w:t>
            </w:r>
          </w:p>
        </w:tc>
      </w:tr>
      <w:tr>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50_umsetzung/migration_zoho.md</w:t>
            </w:r>
          </w:p>
        </w:tc>
        <w:tc>
          <w:tcPr>
            <w:tcW w:type="dxa" w:w="6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Migrationskonzept Zoho, Feldmapping, Prüfsummen</w:t>
            </w:r>
          </w:p>
        </w:tc>
      </w:tr>
      <w:tr>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10_analyse/ist_zustand_zoho.md</w:t>
            </w:r>
          </w:p>
        </w:tc>
        <w:tc>
          <w:tcPr>
            <w:tcW w:type="dxa" w:w="6038"/>
            <w:tcMar>
              <w:top w:type="dxa" w:w="60"/>
              <w:left w:type="dxa" w:w="100"/>
              <w:bottom w:type="dxa" w:w="60"/>
              <w:right w:type="dxa" w:w="100"/>
            </w:tcMar>
          </w:tcPr>
          <w:p>
            <w:pPr>
              <w:spacing w:after="0" w:line="250"/>
            </w:pPr>
            <w:r>
              <w:rPr>
                <w:rFonts w:ascii="Calibri" w:cs="Calibri" w:eastAsia="Calibri" w:hAnsi="Calibri"/>
                <w:sz w:val="19"/>
                <w:szCs w:val="19"/>
              </w:rPr>
              <w:t xml:space="preserve">Ist-Zustand und Phasenumfang</w:t>
            </w:r>
          </w:p>
        </w:tc>
      </w:tr>
      <w:tr>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20_anforderungen/anforderungskatalog.md</w:t>
            </w:r>
          </w:p>
        </w:tc>
        <w:tc>
          <w:tcPr>
            <w:tcW w:type="dxa" w:w="6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71 Anforderungen mit Phase und Ausschlusskriterien</w:t>
            </w:r>
          </w:p>
        </w:tc>
      </w:tr>
      <w:tr>
        <w:tc>
          <w:tcPr>
            <w:tcW w:type="dxa" w:w="3600"/>
            <w:tcMar>
              <w:top w:type="dxa" w:w="60"/>
              <w:left w:type="dxa" w:w="100"/>
              <w:bottom w:type="dxa" w:w="60"/>
              <w:right w:type="dxa" w:w="100"/>
            </w:tcMar>
          </w:tcPr>
          <w:p>
            <w:pPr>
              <w:spacing w:after="0" w:line="250"/>
            </w:pPr>
            <w:r>
              <w:rPr>
                <w:rFonts w:ascii="Calibri" w:cs="Calibri" w:eastAsia="Calibri" w:hAnsi="Calibri"/>
                <w:sz w:val="19"/>
                <w:szCs w:val="19"/>
              </w:rPr>
              <w:t xml:space="preserve">20_anforderungen/rechtliche_rahmenbedingungen_at.md</w:t>
            </w:r>
          </w:p>
        </w:tc>
        <w:tc>
          <w:tcPr>
            <w:tcW w:type="dxa" w:w="6038"/>
            <w:tcMar>
              <w:top w:type="dxa" w:w="60"/>
              <w:left w:type="dxa" w:w="100"/>
              <w:bottom w:type="dxa" w:w="60"/>
              <w:right w:type="dxa" w:w="100"/>
            </w:tcMar>
          </w:tcPr>
          <w:p>
            <w:pPr>
              <w:spacing w:after="0" w:line="250"/>
            </w:pPr>
            <w:r>
              <w:rPr>
                <w:rFonts w:ascii="Calibri" w:cs="Calibri" w:eastAsia="Calibri" w:hAnsi="Calibri"/>
                <w:sz w:val="19"/>
                <w:szCs w:val="19"/>
              </w:rPr>
              <w:t xml:space="preserve">RKSV, Umsatzsteuer, E-Rechnung, SEPA, DSGVO</w:t>
            </w:r>
          </w:p>
        </w:tc>
      </w:tr>
      <w:tr>
        <w:tc>
          <w:tcPr>
            <w:tcW w:type="dxa" w:w="3600"/>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00_management/entscheidungslog.md</w:t>
            </w:r>
          </w:p>
        </w:tc>
        <w:tc>
          <w:tcPr>
            <w:tcW w:type="dxa" w:w="6038"/>
            <w:shd w:fill="FAFAFA" w:color="auto" w:val="clear"/>
            <w:tcMar>
              <w:top w:type="dxa" w:w="60"/>
              <w:left w:type="dxa" w:w="100"/>
              <w:bottom w:type="dxa" w:w="60"/>
              <w:right w:type="dxa" w:w="100"/>
            </w:tcMar>
          </w:tcPr>
          <w:p>
            <w:pPr>
              <w:spacing w:after="0" w:line="250"/>
            </w:pPr>
            <w:r>
              <w:rPr>
                <w:rFonts w:ascii="Calibri" w:cs="Calibri" w:eastAsia="Calibri" w:hAnsi="Calibri"/>
                <w:sz w:val="19"/>
                <w:szCs w:val="19"/>
              </w:rPr>
              <w:t xml:space="preserve">Entscheidungen und offene Fragen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Benchmark Kinnovis und Stora  |  deinPlatz.at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Benchmark-Report Kinnovis und Stora</dc:title>
  <dc:creator>accilium</dc:creator>
  <dc:description>Produktvergleich mit Schwerpunkt Zahlungsabwicklung für deinPlatz.at</dc:description>
  <cp:lastModifiedBy>Un-named</cp:lastModifiedBy>
  <cp:revision>1</cp:revision>
  <dcterms:created xsi:type="dcterms:W3CDTF">2026-09-06T20:09:22.979Z</dcterms:created>
  <dcterms:modified xsi:type="dcterms:W3CDTF">2026-09-06T20:09:22.979Z</dcterms:modified>
</cp:coreProperties>
</file>

<file path=docProps/custom.xml><?xml version="1.0" encoding="utf-8"?>
<Properties xmlns="http://schemas.openxmlformats.org/officeDocument/2006/custom-properties" xmlns:vt="http://schemas.openxmlformats.org/officeDocument/2006/docPropsVTypes"/>
</file>