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rFonts w:ascii="Calibri" w:cs="Calibri" w:eastAsia="Calibri" w:hAnsi="Calibri"/>
          <w:b/>
          <w:bCs/>
          <w:color w:val="1F3864"/>
          <w:sz w:val="56"/>
          <w:szCs w:val="56"/>
        </w:rPr>
        <w:t xml:space="preserve">Projektplan</w:t>
      </w:r>
    </w:p>
    <w:p>
      <w:pPr>
        <w:spacing w:after="300"/>
      </w:pPr>
      <w:r>
        <w:rPr>
          <w:rFonts w:ascii="Calibri" w:cs="Calibri" w:eastAsia="Calibri" w:hAnsi="Calibri"/>
          <w:color w:val="404040"/>
          <w:sz w:val="36"/>
          <w:szCs w:val="36"/>
        </w:rPr>
        <w:t xml:space="preserve">Umstellung des Kernsystems bis Ende Oktober 2026</w:t>
      </w:r>
    </w:p>
    <w:p>
      <w:pPr>
        <w:pBdr>
          <w:bottom w:val="single" w:color="1F3864" w:sz="6"/>
        </w:pBdr>
        <w:spacing w:after="200"/>
      </w:pPr>
    </w:p>
    <w:p>
      <w:pPr>
        <w:spacing w:after="400" w:line="276"/>
      </w:pPr>
      <w:r>
        <w:rPr>
          <w:rFonts w:ascii="Calibri" w:cs="Calibri" w:eastAsia="Calibri" w:hAnsi="Calibri"/>
          <w:b/>
          <w:bCs/>
          <w:sz w:val="24"/>
          <w:szCs w:val="24"/>
        </w:rPr>
        <w:t xml:space="preserve">Acht Wochen von der Ist-Aufnahme bis zum Go-Live, mit Meilensteinen, kritischem Pfad und Rückfallebenen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Feld</w:t>
            </w:r>
          </w:p>
        </w:tc>
        <w:tc>
          <w:tcPr>
            <w:tcW w:type="dxa" w:w="70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Angabe</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Auftraggeber</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deinPlatz.at, Reitschulgasse 16, 9500 Villach</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Vorhaben</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Ablöse von Zoho Subscriptions durch ein Self-Storage-Fachsystem</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Systemauswahl</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Kinnovis, Stora oder Store365 (Store-IT) – Entscheidung im Rahmen dieses Plans (Meilenstein M5)</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Projektstart</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Montag, 07.09.2026 (KW 37)</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Freitag, 30.10.2026 (KW 44)</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 Abrechnung aus dem neuen System</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November 2026</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Version / Stand</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1.0 / 06.09.2026</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Erstellt von</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accilium</w:t>
            </w:r>
          </w:p>
        </w:tc>
      </w:tr>
    </w:tbl>
    <w:p>
      <w:pPr>
        <w:spacing w:after="400"/>
      </w:pPr>
    </w:p>
    <w:p>
      <w:pPr>
        <w:spacing w:after="120" w:line="276"/>
      </w:pPr>
      <w:r>
        <w:rPr>
          <w:rFonts w:ascii="Calibri" w:cs="Calibri" w:eastAsia="Calibri" w:hAnsi="Calibri"/>
          <w:b/>
          <w:bCs/>
          <w:sz w:val="21"/>
          <w:szCs w:val="21"/>
        </w:rPr>
        <w:t xml:space="preserve">Lesehinweis: </w:t>
      </w:r>
      <w:r>
        <w:rPr>
          <w:rFonts w:ascii="Calibri" w:cs="Calibri" w:eastAsia="Calibri" w:hAnsi="Calibri"/>
          <w:sz w:val="21"/>
          <w:szCs w:val="21"/>
        </w:rPr>
        <w:t xml:space="preserve">Der Plan ist bis Meilenstein M5 anbieterunabhängig. Ab der Beauftragung unterscheiden sich die Aufgaben je nach gewähltem System; Kapitel 8 beschreibt die Unterschiede und ihre Auswirkung auf den Termin.</w:t>
      </w:r>
    </w:p>
    <w:p>
      <w:r>
        <w:br w:type="page"/>
      </w:r>
    </w:p>
    <w:p>
      <w:pPr>
        <w:pStyle w:val="Heading1"/>
        <w:spacing w:after="180" w:before="360"/>
      </w:pPr>
      <w:r>
        <w:rPr>
          <w:rFonts w:ascii="Calibri" w:cs="Calibri" w:eastAsia="Calibri" w:hAnsi="Calibri"/>
          <w:b/>
          <w:bCs/>
          <w:color w:val="1F3864"/>
          <w:sz w:val="30"/>
          <w:szCs w:val="30"/>
        </w:rPr>
        <w:t xml:space="preserve">1  Zielsetzung und Eckdaten</w:t>
      </w:r>
    </w:p>
    <w:p>
      <w:pPr>
        <w:spacing w:after="120" w:line="276"/>
      </w:pPr>
      <w:r>
        <w:rPr>
          <w:rFonts w:ascii="Calibri" w:cs="Calibri" w:eastAsia="Calibri" w:hAnsi="Calibri"/>
          <w:sz w:val="21"/>
          <w:szCs w:val="21"/>
        </w:rPr>
        <w:t xml:space="preserve">Bis zum 30. Oktober 2026 wird das heutige Kernsystem Zoho Subscriptions durch ein Self-Storage-Fachsystem ersetzt. Zum Go-Live müssen Kundenstamm, Einheiten, Mietverträge, Abrechnung, Zahlungen und Mahnwesen produktiv laufen; die erste vollständige Abrechnung für den Monat November wird aus dem neuen System erzeugt.</w:t>
      </w:r>
    </w:p>
    <w:p>
      <w:pPr>
        <w:pStyle w:val="Heading2"/>
        <w:spacing w:after="140" w:before="260"/>
      </w:pPr>
      <w:r>
        <w:rPr>
          <w:rFonts w:ascii="Calibri" w:cs="Calibri" w:eastAsia="Calibri" w:hAnsi="Calibri"/>
          <w:b/>
          <w:bCs/>
          <w:color w:val="1F3864"/>
          <w:sz w:val="24"/>
          <w:szCs w:val="24"/>
        </w:rPr>
        <w:t xml:space="preserve">1.1  Zielbild zum Go-Live (Phase 1)</w:t>
      </w:r>
    </w:p>
    <w:p>
      <w:pPr>
        <w:pStyle w:val="ListParagraph"/>
        <w:numPr>
          <w:ilvl w:val="0"/>
          <w:numId w:val="2"/>
        </w:numPr>
        <w:spacing w:after="80" w:line="276"/>
      </w:pPr>
      <w:r>
        <w:rPr>
          <w:rFonts w:ascii="Calibri" w:cs="Calibri" w:eastAsia="Calibri" w:hAnsi="Calibri"/>
          <w:sz w:val="21"/>
          <w:szCs w:val="21"/>
        </w:rPr>
        <w:t xml:space="preserve">Schnittstelle zur Steuerberatung: monatlicher Export, der in RZL importiert werden kann</w:t>
      </w:r>
    </w:p>
    <w:p>
      <w:pPr>
        <w:pStyle w:val="ListParagraph"/>
        <w:numPr>
          <w:ilvl w:val="0"/>
          <w:numId w:val="2"/>
        </w:numPr>
        <w:spacing w:after="80" w:line="276"/>
      </w:pPr>
      <w:r>
        <w:rPr>
          <w:rFonts w:ascii="Calibri" w:cs="Calibri" w:eastAsia="Calibri" w:hAnsi="Calibri"/>
          <w:sz w:val="21"/>
          <w:szCs w:val="21"/>
        </w:rPr>
        <w:t xml:space="preserve">Vertrags- und Angebotserstellung online, inklusive Identitätsprüfung</w:t>
      </w:r>
    </w:p>
    <w:p>
      <w:pPr>
        <w:pStyle w:val="ListParagraph"/>
        <w:numPr>
          <w:ilvl w:val="0"/>
          <w:numId w:val="2"/>
        </w:numPr>
        <w:spacing w:after="80" w:line="276"/>
      </w:pPr>
      <w:r>
        <w:rPr>
          <w:rFonts w:ascii="Calibri" w:cs="Calibri" w:eastAsia="Calibri" w:hAnsi="Calibri"/>
          <w:sz w:val="21"/>
          <w:szCs w:val="21"/>
        </w:rPr>
        <w:t xml:space="preserve">Monatliche Rechnungserstellung und -versendung, auch selektiv für einzelne Verträge</w:t>
      </w:r>
    </w:p>
    <w:p>
      <w:pPr>
        <w:pStyle w:val="ListParagraph"/>
        <w:numPr>
          <w:ilvl w:val="0"/>
          <w:numId w:val="2"/>
        </w:numPr>
        <w:spacing w:after="80" w:line="276"/>
      </w:pPr>
      <w:r>
        <w:rPr>
          <w:rFonts w:ascii="Calibri" w:cs="Calibri" w:eastAsia="Calibri" w:hAnsi="Calibri"/>
          <w:sz w:val="21"/>
          <w:szCs w:val="21"/>
        </w:rPr>
        <w:t xml:space="preserve">Zahlung wahlweise per SEPA-Lastschrift, Karte oder Überweisung</w:t>
      </w:r>
    </w:p>
    <w:p>
      <w:pPr>
        <w:pStyle w:val="ListParagraph"/>
        <w:numPr>
          <w:ilvl w:val="0"/>
          <w:numId w:val="2"/>
        </w:numPr>
        <w:spacing w:after="80" w:line="276"/>
      </w:pPr>
      <w:r>
        <w:rPr>
          <w:rFonts w:ascii="Calibri" w:cs="Calibri" w:eastAsia="Calibri" w:hAnsi="Calibri"/>
          <w:sz w:val="21"/>
          <w:szCs w:val="21"/>
        </w:rPr>
        <w:t xml:space="preserve">Buchungsstrecke in die bestehende Website eingebunden</w:t>
      </w:r>
    </w:p>
    <w:p>
      <w:pPr>
        <w:pStyle w:val="ListParagraph"/>
        <w:numPr>
          <w:ilvl w:val="0"/>
          <w:numId w:val="2"/>
        </w:numPr>
        <w:spacing w:after="80" w:line="276"/>
      </w:pPr>
      <w:r>
        <w:rPr>
          <w:rFonts w:ascii="Calibri" w:cs="Calibri" w:eastAsia="Calibri" w:hAnsi="Calibri"/>
          <w:sz w:val="21"/>
          <w:szCs w:val="21"/>
        </w:rPr>
        <w:t xml:space="preserve">Automatisierte E-Mails entlang Vertrag, Rechnung und Mahnung</w:t>
      </w:r>
    </w:p>
    <w:p>
      <w:pPr>
        <w:spacing w:after="80"/>
      </w:pPr>
    </w:p>
    <w:p>
      <w:pPr>
        <w:spacing w:after="120" w:line="276"/>
      </w:pPr>
      <w:r>
        <w:rPr>
          <w:rFonts w:ascii="Calibri" w:cs="Calibri" w:eastAsia="Calibri" w:hAnsi="Calibri"/>
          <w:sz w:val="21"/>
          <w:szCs w:val="21"/>
        </w:rPr>
        <w:t xml:space="preserve">Phase 2 – Buchungsportal, Kundenportal und Anlageplan – folgt nach der Stabilisierung. Beide Kandidaten liefern diese Funktionen im Standard mit; sie werden lediglich später aktiviert, um den Go-Live nicht zu überfrachten.</w:t>
      </w:r>
    </w:p>
    <w:p>
      <w:pPr>
        <w:pStyle w:val="Heading2"/>
        <w:spacing w:after="140" w:before="260"/>
      </w:pPr>
      <w:r>
        <w:rPr>
          <w:rFonts w:ascii="Calibri" w:cs="Calibri" w:eastAsia="Calibri" w:hAnsi="Calibri"/>
          <w:b/>
          <w:bCs/>
          <w:color w:val="1F3864"/>
          <w:sz w:val="24"/>
          <w:szCs w:val="24"/>
        </w:rPr>
        <w:t xml:space="preserve">1.2  Termingerüst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100"/>
        <w:gridCol w:w="2100"/>
        <w:gridCol w:w="6438"/>
      </w:tblGrid>
      <w:tr>
        <w:trPr>
          <w:tblHeader/>
        </w:trPr>
        <w:tc>
          <w:tcPr>
            <w:tcW w:type="dxa" w:w="11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Woche</w:t>
            </w:r>
          </w:p>
        </w:tc>
        <w:tc>
          <w:tcPr>
            <w:tcW w:type="dxa" w:w="21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Zeitraum</w:t>
            </w:r>
          </w:p>
        </w:tc>
        <w:tc>
          <w:tcPr>
            <w:tcW w:type="dxa" w:w="6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Schwerpunkt</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W1</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37 · 07.–11.09.</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Ist-Aufnahme, Daten- und Mandatsbestand, Projektauftrag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W2</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38 · 14.–18.09.</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final, Fragenkatalog und Musterexport bei beiden Anbietern</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W3</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39 · 21.–25.09.</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Demos beider Anbieter, Testimport des Buchhaltungsexports in RZL</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W4</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40 · 28.09.–02.10.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Referenzen, Bewertung, Entscheidungsvorlage</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W5</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41 · 05.–09.10.</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Entscheidung, Vertragsverhandlung, Beauftragung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W6</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42 · 12.–16.10.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Zahlungsanbindung, Migrationstestlauf 1</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W7</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43 · 19.–23.10.</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Test und Abnahme, Migrationstestlauf 2, Schulung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W8</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44 · 26.–30.10.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Go-Live, erster Abrechnungslauf, Hypercare</w:t>
            </w:r>
          </w:p>
        </w:tc>
      </w:tr>
    </w:tbl>
    <w:p>
      <w:pPr>
        <w:spacing w:after="120"/>
      </w:pPr>
    </w:p>
    <w:p>
      <w:pPr>
        <w:spacing w:after="120" w:line="276"/>
      </w:pPr>
      <w:r>
        <w:rPr>
          <w:rFonts w:ascii="Calibri" w:cs="Calibri" w:eastAsia="Calibri" w:hAnsi="Calibri"/>
          <w:b/>
          <w:bCs/>
          <w:color w:val="C00000"/>
          <w:sz w:val="21"/>
          <w:szCs w:val="21"/>
        </w:rPr>
        <w:t xml:space="preserve">Achtung Kalender: </w:t>
      </w:r>
      <w:r>
        <w:rPr>
          <w:rFonts w:ascii="Calibri" w:cs="Calibri" w:eastAsia="Calibri" w:hAnsi="Calibri"/>
          <w:sz w:val="21"/>
          <w:szCs w:val="21"/>
        </w:rPr>
        <w:t xml:space="preserve">Montag, 26.10.2026 ist Nationalfeiertag. Die Cutover-Woche hat damit nur vier Arbeitstage. Der Tagesplan in Kapitel 9 berücksichtigt das.</w:t>
      </w:r>
    </w:p>
    <w:p>
      <w:pPr>
        <w:pStyle w:val="Heading1"/>
        <w:spacing w:after="180" w:before="360"/>
      </w:pPr>
      <w:r>
        <w:rPr>
          <w:rFonts w:ascii="Calibri" w:cs="Calibri" w:eastAsia="Calibri" w:hAnsi="Calibri"/>
          <w:b/>
          <w:bCs/>
          <w:color w:val="1F3864"/>
          <w:sz w:val="30"/>
          <w:szCs w:val="30"/>
        </w:rPr>
        <w:t xml:space="preserve">2  Planungsgrundlagen und Annahmen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Grundlage</w:t>
            </w:r>
          </w:p>
        </w:tc>
        <w:tc>
          <w:tcPr>
            <w:tcW w:type="dxa" w:w="66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Festlegung</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Lösungsansatz</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Standard-SaaS, Einführung durch Konfiguration – keine Programmierung</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Umfang zum Go-Live</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Phase 1 laut Anforderungsdokument; Phase 2 nach Stabilisierung</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Datenmenge (Annahme)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rund 120 aktive Verträge, ein Standort, Einheiten von 2,5 bis 50 m²</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Zahlungsmodell</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Empfehlung Hybrid: Bestand weiter über die eigene Bank, Neuverträge über Zahlungsdienstleister</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Mandate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bleiben gültig, da deinPlatz selbst Gläubiger ist; IBAN und Referenzen werden aus den eigenen Unterlagen rekonstruiert</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Interne Verfügbarkeit</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rund ein Arbeitstag pro Woche je Fachverantwortung, in W6 bis W8 mehr</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Externe Beteiligte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Steuerberatung rund 3 Stunden verteilt, Anbieter ab W6 aktiv</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Arbeitstage</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Montag, 26.10.2026 ist Feiertag; ansonsten keine Ausfälle eingeplant</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Puffer</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kein Puffer auf dem kritischen Pfad – die Rückfallebenen in Kapitel 12 ersetzen ihn</w:t>
            </w:r>
          </w:p>
        </w:tc>
      </w:tr>
    </w:tbl>
    <w:p>
      <w:pPr>
        <w:spacing w:after="120"/>
      </w:pPr>
    </w:p>
    <w:p>
      <w:pPr>
        <w:spacing w:after="120" w:line="276"/>
      </w:pPr>
      <w:r>
        <w:rPr>
          <w:rFonts w:ascii="Calibri" w:cs="Calibri" w:eastAsia="Calibri" w:hAnsi="Calibri"/>
          <w:b/>
          <w:bCs/>
          <w:sz w:val="21"/>
          <w:szCs w:val="21"/>
        </w:rPr>
        <w:t xml:space="preserve">Offene Voraussetzung: </w:t>
      </w:r>
      <w:r>
        <w:rPr>
          <w:rFonts w:ascii="Calibri" w:cs="Calibri" w:eastAsia="Calibri" w:hAnsi="Calibri"/>
          <w:sz w:val="21"/>
          <w:szCs w:val="21"/>
        </w:rPr>
        <w:t xml:space="preserve">Der Plan setzt voraus, dass beide Anbieter innerhalb einer Woche nach Beauftragung mit der Einrichtung beginnen können. Diese Zusage ist im Rahmen der Angebotsanfrage (W2) schriftlich einzuholen. Ohne sie verschiebt sich der Go-Live.</w:t>
      </w:r>
    </w:p>
    <w:p>
      <w:r>
        <w:br w:type="page"/>
      </w:r>
    </w:p>
    <w:p>
      <w:pPr>
        <w:pStyle w:val="Heading1"/>
        <w:spacing w:after="180" w:before="360"/>
      </w:pPr>
      <w:r>
        <w:rPr>
          <w:rFonts w:ascii="Calibri" w:cs="Calibri" w:eastAsia="Calibri" w:hAnsi="Calibri"/>
          <w:b/>
          <w:bCs/>
          <w:color w:val="1F3864"/>
          <w:sz w:val="30"/>
          <w:szCs w:val="30"/>
        </w:rPr>
        <w:t xml:space="preserve">3  Meilensteine</w:t>
      </w:r>
    </w:p>
    <w:p>
      <w:pPr>
        <w:spacing w:after="120" w:line="276"/>
      </w:pPr>
      <w:r>
        <w:rPr>
          <w:rFonts w:ascii="Calibri" w:cs="Calibri" w:eastAsia="Calibri" w:hAnsi="Calibri"/>
          <w:sz w:val="21"/>
          <w:szCs w:val="21"/>
        </w:rPr>
        <w:t xml:space="preserve">Für jeden Meilenstein ist festgelegt, woran seine Erreichung erkennbar ist. Der späteste Termin ist aus dem Go-Live rückwärts gerechnet: Wird er überschritten, ist der 30.10. nicht mehr zu halten.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2500"/>
        <w:gridCol w:w="1250"/>
        <w:gridCol w:w="3888"/>
        <w:gridCol w:w="1300"/>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2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Meilenstein</w:t>
            </w:r>
          </w:p>
        </w:tc>
        <w:tc>
          <w:tcPr>
            <w:tcW w:type="dxa" w:w="125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Plantermin</w:t>
            </w:r>
          </w:p>
        </w:tc>
        <w:tc>
          <w:tcPr>
            <w:tcW w:type="dxa" w:w="388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Erreicht, wenn</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Spätester Termin</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M1</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Ist-Bild und Projektauftrag</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Prozesse, Systeme, Daten- und Mandatslage erhoben; Projektauftrag freigegeben</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M2</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freigegeben, Anbieter angefragt</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Anforderungskatalog freigegeben; Fragenkatalog und Musterexport-Anforderung bei beiden Anbietern</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M3</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Demos und RZL-Test</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Beide Demos gehalten; Buchhaltungsexport von der Steuerberatung testweise in RZL importiert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M4</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bewertet</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über 36 Monate liegen vor; Bewertung und Entscheidungsvorlage fertig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07.10.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M5</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Anbieter beauftragt</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Entscheidung getroffen, Vertrag unterzeichnet, Kickoff-Termin fixiert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M6</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Testumgebung und Migrationstest 1</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System konfiguriert; erster Migrationsdurchlauf abgeglichen und protokolliert</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M7</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Abnahme und Go-/No-Go</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Testfälle der Klasse A fehlerfrei; Testlauf 2 sauber; Team geschult; Freigabe erteilt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M8</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Produktivdaten migriert, Betrieb umgestellt, Abrechnungslauf November erzeugt</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r>
    </w:tbl>
    <w:p>
      <w:pPr>
        <w:spacing w:after="120"/>
      </w:pPr>
    </w:p>
    <w:p>
      <w:pPr>
        <w:spacing w:after="120" w:line="276"/>
      </w:pPr>
      <w:r>
        <w:rPr>
          <w:rFonts w:ascii="Calibri" w:cs="Calibri" w:eastAsia="Calibri" w:hAnsi="Calibri"/>
          <w:b/>
          <w:bCs/>
          <w:color w:val="C00000"/>
          <w:sz w:val="21"/>
          <w:szCs w:val="21"/>
        </w:rPr>
        <w:t xml:space="preserve">M5 ist der kritischste Termin des Projekts. </w:t>
      </w:r>
      <w:r>
        <w:rPr>
          <w:rFonts w:ascii="Calibri" w:cs="Calibri" w:eastAsia="Calibri" w:hAnsi="Calibri"/>
          <w:sz w:val="21"/>
          <w:szCs w:val="21"/>
        </w:rPr>
        <w:t xml:space="preserve">Jeder Tag Verzug bei der Beauftragung verschiebt den Go-Live um denselben Tag – die drei Wochen für Konfiguration, Migration, Test und Cutover lassen sich nicht komprimieren.</w:t>
      </w:r>
    </w:p>
    <w:p>
      <w:r>
        <w:br w:type="page"/>
      </w:r>
    </w:p>
    <w:p>
      <w:pPr>
        <w:pStyle w:val="Heading1"/>
        <w:spacing w:after="180" w:before="360"/>
      </w:pPr>
      <w:r>
        <w:rPr>
          <w:rFonts w:ascii="Calibri" w:cs="Calibri" w:eastAsia="Calibri" w:hAnsi="Calibri"/>
          <w:b/>
          <w:bCs/>
          <w:color w:val="1F3864"/>
          <w:sz w:val="30"/>
          <w:szCs w:val="30"/>
        </w:rPr>
        <w:t xml:space="preserve">4  Arbeitsplan Woche für Woche</w:t>
      </w:r>
    </w:p>
    <w:p>
      <w:pPr>
        <w:spacing w:after="120" w:line="276"/>
      </w:pPr>
      <w:r>
        <w:rPr>
          <w:rFonts w:ascii="Calibri" w:cs="Calibri" w:eastAsia="Calibri" w:hAnsi="Calibri"/>
          <w:sz w:val="21"/>
          <w:szCs w:val="21"/>
        </w:rPr>
        <w:t xml:space="preserve">„Kritisch“ bedeutet: Das Arbeitspaket liegt auf dem kritischen Pfad, eine Verzögerung wirkt sich unmittelbar auf den Go-Live aus.</w:t>
      </w:r>
    </w:p>
    <w:p>
      <w:pPr>
        <w:pStyle w:val="Heading2"/>
        <w:spacing w:after="140" w:before="260"/>
      </w:pPr>
      <w:r>
        <w:rPr>
          <w:rFonts w:ascii="Calibri" w:cs="Calibri" w:eastAsia="Calibri" w:hAnsi="Calibri"/>
          <w:b/>
          <w:bCs/>
          <w:color w:val="1F3864"/>
          <w:sz w:val="24"/>
          <w:szCs w:val="24"/>
        </w:rPr>
        <w:t xml:space="preserve">W1 · KW 37 · 07.–11.09.  Ist-Aufnahme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Kickoff, Rollen, Entscheidungswege, Projektauftrag freigeben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 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Projektauftrag unterschrieben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Ist-Aufnahme Prozesse: Anfrage, Vertrag, Abrechnung, Mahnung, Kündigung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Prozesslandkarte gefüllt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Vollexport aus Zoho anfordern (Kunden, Abos, Rechnungen, Zahlungen, Pläne)</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Rohdaten mit Zeitstempel</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Mandatsliste aufbauen: IBAN, Mandatsreferenz, Erteilungsdatum, letzter 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vollständige Mandatsliste</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Einheitenliste aufbauen: Einheit, Fläche, Kunde, Preis, Vertragsbeginn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führende Belegungsliste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Zutrittsanlage erheben: Hersteller, Modell, Schnittstelle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Systemsteckbrief</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Vertragslaufzeit und Kündigungsfrist von Zoho prüfen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Kündigungstermin bekannt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Prüfaufträge an Steuerberatung und Rechtsberatung stellen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Klärungsliste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W2 · KW 38 · 14.–18.09.  Anforderungen und Anbieteransprache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Anforderungskatalog finalisieren und freigeben (74 Anforderungen, Phase 1/2)</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freigegebener Katalog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Fragenkatalog an alle drei Anbieter versenden, Demo-Termine für W3 fixieren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Termine bestätigt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Musterexport für die Buchhaltung bei beiden Anbietern anfordern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Exportdateien angefordert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 über 36 Monate anfordern, bei Stora mit Tarifzuordnung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Angebotsanfrage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Startzusage nach Beauftragung schriftlich einholen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Terminzusage der Anbieter</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Datenqualität bewerten, Bereinigungsliste erstellen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Migrationsaufwand</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Betriebsmodell der Zahlungsabwicklung festlegen (Bank, Dienstleister, Hybrid)</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Entscheidung dokumentiert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Referenzkunden im DACH-Raum anfragen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zwei Gespräche terminiert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W3 · KW 39 · 21.–25.09.  Demos und Buchhaltungstest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Demo Kinnovis nach Drehbuch, mit eigenen Testfällen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Bewertungsbögen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 Stora nach Drehbuch, mit eigenen Testfällen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Bewertungsbögen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3.2b</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Demo Store365 nach Drehbuch, mit eigenen Testfällen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Bewertungsbögen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3.3</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Musterexporte aller drei Anbieter an die Steuerberatung, Testimport in RZL</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Importergebnis schriftlich</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3.4</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Zahlungsfragen klären: eigene Gläubiger-ID, Mandatsimport, SEPA-Datei, Kontoauszugsimport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Finanzen, 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Antworten schriftlich</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3.5</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Referenzgespräche führen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Gesprächsnotizen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3.6</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Umstellungsaktion für Überweiser vorbereiten (Anschreiben, Formular)</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Anschreiben freigegeben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3.7</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K.o.-Kriterien je Anbieter abhaken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Screening-Protokoll</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W4 · KW 40 · 28.09.–02.10.  Bewertung und Entscheidungsvorlage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Angebote normalisieren, Gesamtkosten über 36 Monate rechnen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Kostenvergleich</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Bewertungsmatrix befüllen, Sensitivität prüfen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bewertete Matrix</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Entscheidungsvorlage mit Empfehlung erstellen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Vorlage an GF</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Vertragsentwurf des favorisierten Anbieters prüfen (SLA, Laufzeit, AVV, Datenexport)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 Recht</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Verhandlungspunkte</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Migrationsprobe: Testexport an den favorisierten Anbieter geben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Machbarkeitsaussage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Umstellungsaktion Überweiser starten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Anschreiben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W5 · KW 41 · 05.–09.10.  Entscheidung und Beauftragung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Entscheidung der Geschäftsführung, Dokumentation im Entscheidungslog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Entscheidung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Vertragsverhandlung: Preis, Laufzeit, SLA, AVV, Datenexport, Migrationsleistung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 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unterschrieben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Kickoff mit dem Anbieter, Zugänge, Projektplan der Einrichtung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Kickoff-Termin gehalten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Kündigung Zoho vorbereiten – erst nach Vertragsunterzeichnung aussprechen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Kündigung terminiert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Absage an den nicht gewählten Anbieter, erst nach Unterschrift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Absage versendet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SEPA-Vorabinformationsfrist im Mietvertrag prüfen (Auswirkung auf den ersten 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Recht</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Frist bestätigt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W6 · KW 42 · 12.–16.10.  Konfiguration und erster Migrationslauf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Grundeinstellungen: Mandant, Standort, Steuersätze, Nummernkreise, Benutzer und Rollen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Anbieter, 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konfigurierte Umgebung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Einheiten und Preisliste anlegen, Aktionen und Rabatte hinterlegen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Belegungsplan im System</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Vorlagen: Mietvertrag, Rechnung, Mahnstufen, E-Mail-Texte auf Deutsch</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Vorlagen abgenommen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Zahlungsanbindung einrichten: eigene Gläubiger-ID, Mandatsimport, Testeinzug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Anbieter</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Testeinzug erfolgreich</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inklusive Abgleichprotokoll</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Protokoll und Fehlerliste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Buchhaltungsexport konfigurieren, Konten und Steuerschlüssel zuordnen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Steuerberatung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Export abgenommen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Zutrittsintegration klären beziehungsweise Übergangsprozess festlegen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Integrationsstatus</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Buchungsstrecke auf der Website vorbereiten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Einbindung vorbereitet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W7 · KW 43 · 19.–23.10.  Test, Abnahme, Schulung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Testfälle Teil 1: Stammdaten, Vertrag, Zutritt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Testprotokoll</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Testfälle Teil 2: Abrechnungslauf, Zahlungen, Rückläufer, Mahnwesen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Testprotokoll</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Fehlerbehebung mit dem Anbieter, Nachtest der Klasse-A-Fehler</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 Anbieter</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Fehlerliste bereinigt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2 mit aktuellem Datenstand, Vollabgleich</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Abgleich sauber</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Schulung des Teams, zwei Einheiten à zwei Stunden, Kurzanleitungen verteilen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Team arbeitsfähig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Kundenanschreiben zur Umstellung freigeben und versandfertig machen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Anschreiben freigegeben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Go-/No-Go-Entscheidung auf Basis des Testprotokolls</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Freigabe erteilt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W8 · KW 44 · 26.–30.10.  Cutover und Go-Live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8.0</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Montag 26.10. ist Nationalfeiertag – keine Projektarbeit eingeplant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8.1</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Datenannahmestopp in Zoho, finaler Vollexport, Deltaliste beginnen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Altsystem lesend</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8.2</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Di: produktive Migration, Abgleich, schriftliche Freigabe durch Finanzen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Finanzen</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Produktivdaten migriert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8.3</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Go-Live, alle Neuvorgänge im neuen System, Kundeninformation versenden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Betrieb umgestellt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8.4</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 Zutrittsberechtigungen stichprobenartig vor Ort prüfen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Zutritt bestätigt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8.5</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erster Abrechnungslauf für November im Vier-Augen-Prinzip, Versand</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Rechnungen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8.6</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Fr: Zahlungslauf beziehungsweise SEPA-Datei erzeugen und einreichen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Einzug beauftragt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8.7</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Hypercare starten, tägliches Kurz-Standup, Fehlerliste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Hypercare läuft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8.8</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Fr: Archiv des Altsystems prüfen und dokumentieren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Archiv gesichert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r>
        <w:br w:type="page"/>
      </w:r>
    </w:p>
    <w:p>
      <w:pPr>
        <w:pStyle w:val="Heading1"/>
        <w:spacing w:after="180" w:before="360"/>
      </w:pPr>
      <w:r>
        <w:rPr>
          <w:rFonts w:ascii="Calibri" w:cs="Calibri" w:eastAsia="Calibri" w:hAnsi="Calibri"/>
          <w:b/>
          <w:bCs/>
          <w:color w:val="1F3864"/>
          <w:sz w:val="30"/>
          <w:szCs w:val="30"/>
        </w:rPr>
        <w:t xml:space="preserve">5  Kritischer Pfad</w:t>
      </w:r>
    </w:p>
    <w:p>
      <w:pPr>
        <w:spacing w:after="120" w:line="276"/>
      </w:pPr>
      <w:r>
        <w:rPr>
          <w:rFonts w:ascii="Calibri" w:cs="Calibri" w:eastAsia="Calibri" w:hAnsi="Calibri"/>
          <w:sz w:val="21"/>
          <w:szCs w:val="21"/>
        </w:rPr>
        <w:t xml:space="preserve">Der kritische Pfad verläuft durchgehend vom Projektstart bis zum Go-Live. Er enthält keinen Puffer: Jede Verzögerung eines Gliedes verschiebt den Endtermin um dieselbe Zeit.</w:t>
      </w:r>
    </w:p>
    <w:p>
      <w:pPr>
        <w:pStyle w:val="Heading2"/>
        <w:spacing w:after="140" w:before="260"/>
      </w:pPr>
      <w:r>
        <w:rPr>
          <w:rFonts w:ascii="Calibri" w:cs="Calibri" w:eastAsia="Calibri" w:hAnsi="Calibri"/>
          <w:b/>
          <w:bCs/>
          <w:color w:val="1F3864"/>
          <w:sz w:val="24"/>
          <w:szCs w:val="24"/>
        </w:rPr>
        <w:t xml:space="preserve">5.1  Die Kette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3200"/>
        <w:gridCol w:w="1500"/>
        <w:gridCol w:w="1500"/>
        <w:gridCol w:w="1400"/>
        <w:gridCol w:w="1338"/>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Start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Ende</w:t>
            </w:r>
          </w:p>
        </w:tc>
        <w:tc>
          <w:tcPr>
            <w:tcW w:type="dxa" w:w="14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Dauer</w:t>
            </w:r>
          </w:p>
        </w:tc>
        <w:tc>
          <w:tcPr>
            <w:tcW w:type="dxa" w:w="13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Puffer</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A</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Ist-Aufnahme, Daten- und Einheitenbestand</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07.09.</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B</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freigeben, Anbieter anfragen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14.09.</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C</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Demos und Testimport in RZL</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21.09.</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3 Tage</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D</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Bewertung, Entscheidungsvorlage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28.09.</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 Tage</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E</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Entscheidung und Vertragsunterzeichnung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05.10.</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und Migrationstestlauf 1</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12.10.</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 Tag</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 Testlauf 2, Schulung, Abnahme</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H</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und Go-Live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bl>
    <w:p>
      <w:pPr>
        <w:spacing w:after="120"/>
      </w:pPr>
    </w:p>
    <w:p>
      <w:pPr>
        <w:spacing w:after="120" w:line="276"/>
      </w:pPr>
      <w:r>
        <w:rPr>
          <w:rFonts w:ascii="Calibri" w:cs="Calibri" w:eastAsia="Calibri" w:hAnsi="Calibri"/>
          <w:b/>
          <w:bCs/>
          <w:sz w:val="21"/>
          <w:szCs w:val="21"/>
        </w:rPr>
        <w:t xml:space="preserve">Gesamtpuffer im Projekt: rund drei Tage</w:t>
      </w:r>
      <w:r>
        <w:rPr>
          <w:rFonts w:ascii="Calibri" w:cs="Calibri" w:eastAsia="Calibri" w:hAnsi="Calibri"/>
          <w:sz w:val="21"/>
          <w:szCs w:val="21"/>
        </w:rPr>
        <w:t xml:space="preserve"> – und die liegen ausschließlich in der Auswahlphase (C und D), weil dort Termine mit Dritten vorgezogen werden können. Ab der Beauftragung ist der Plan ohne Reserve.</w:t>
      </w:r>
    </w:p>
    <w:p>
      <w:pPr>
        <w:pStyle w:val="Heading2"/>
        <w:spacing w:after="140" w:before="260"/>
      </w:pPr>
      <w:r>
        <w:rPr>
          <w:rFonts w:ascii="Calibri" w:cs="Calibri" w:eastAsia="Calibri" w:hAnsi="Calibri"/>
          <w:b/>
          <w:bCs/>
          <w:color w:val="1F3864"/>
          <w:sz w:val="24"/>
          <w:szCs w:val="24"/>
        </w:rPr>
        <w:t xml:space="preserve">5.2  Balkenplan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6"/>
        <w:gridCol w:w="879"/>
        <w:gridCol w:w="879"/>
        <w:gridCol w:w="879"/>
        <w:gridCol w:w="879"/>
        <w:gridCol w:w="879"/>
        <w:gridCol w:w="879"/>
        <w:gridCol w:w="879"/>
        <w:gridCol w:w="879"/>
      </w:tblGrid>
      <w:tr>
        <w:trPr>
          <w:tblHeader/>
        </w:trPr>
        <w:tc>
          <w:tcPr>
            <w:tcW w:type="dxa" w:w="2606"/>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KW37</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KW38</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KW39</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KW40</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KW41</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KW42</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KW43</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KW44</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A Ist-Aufnahme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B Anforderungen und Anfrage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C Demos und RZL-Test</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D Angebote und Bewertung</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E Entscheidung und Vertrag</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F Konfiguration und Migration 1</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G Test, Schulung, Abnahme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H Cutover und Go-Live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Mandats- und Einheitenliste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Umstellung der Überweiser</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Rechts- und Steuerklärungen</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Kundenkommunikation</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Meilensteine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M1</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M2</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M3</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M4</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M5</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M6</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M7</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M8</w:t>
            </w:r>
          </w:p>
        </w:tc>
      </w:tr>
    </w:tbl>
    <w:p>
      <w:pPr>
        <w:spacing w:after="140"/>
      </w:pPr>
    </w:p>
    <w:p>
      <w:pPr>
        <w:pStyle w:val="Heading2"/>
        <w:spacing w:after="140" w:before="260"/>
      </w:pPr>
      <w:r>
        <w:rPr>
          <w:rFonts w:ascii="Calibri" w:cs="Calibri" w:eastAsia="Calibri" w:hAnsi="Calibri"/>
          <w:b/>
          <w:bCs/>
          <w:color w:val="1F3864"/>
          <w:sz w:val="24"/>
          <w:szCs w:val="24"/>
        </w:rPr>
        <w:t xml:space="preserve">5.3  Rückwärtsrechnung – die spätesten Termine</w:t>
      </w:r>
    </w:p>
    <w:p>
      <w:pPr>
        <w:spacing w:after="120" w:line="276"/>
      </w:pPr>
      <w:r>
        <w:rPr>
          <w:rFonts w:ascii="Calibri" w:cs="Calibri" w:eastAsia="Calibri" w:hAnsi="Calibri"/>
          <w:sz w:val="21"/>
          <w:szCs w:val="21"/>
        </w:rPr>
        <w:t xml:space="preserve">Aus dem Go-Live am 30.10. ergeben sich zwingend folgende späteste Termine. Sie sind die eigentliche Steuerungsgröße des Projekts: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2200"/>
        <w:gridCol w:w="2238"/>
      </w:tblGrid>
      <w:tr>
        <w:trPr>
          <w:tblHeader/>
        </w:trPr>
        <w:tc>
          <w:tcPr>
            <w:tcW w:type="dxa" w:w="5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Wenn dies nicht bis … erledigt ist</w:t>
            </w:r>
          </w:p>
        </w:tc>
        <w:tc>
          <w:tcPr>
            <w:tcW w:type="dxa" w:w="2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Termin</w:t>
            </w:r>
          </w:p>
        </w:tc>
        <w:tc>
          <w:tcPr>
            <w:tcW w:type="dxa" w:w="2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dann …</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Fragenkatalog und Musterexport-Anforderung bei beiden Anbietern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verschieben sich Demos und Bewertung</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Testimport des Buchhaltungsexports in RZL abgeschlossen</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fehlt der Entscheidung die wichtigste Grundlage</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Angebote beider Anbieter vollständig</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Mi 07.10.</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ist keine belastbare Kostenentscheidung möglich</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unterzeichnet und Kickoff terminiert</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ist der 30.10. nicht mehr erreichbar</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abgeglichen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bleibt zu wenig Zeit für Korrekturen</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Abnahme erteilt</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entfällt der Cutover in der Folgewoche</w:t>
            </w:r>
          </w:p>
        </w:tc>
      </w:tr>
    </w:tbl>
    <w:p>
      <w:pPr>
        <w:spacing w:after="120"/>
      </w:pPr>
    </w:p>
    <w:p>
      <w:pPr>
        <w:spacing w:after="120" w:line="276"/>
      </w:pPr>
      <w:r>
        <w:rPr>
          <w:rFonts w:ascii="Calibri" w:cs="Calibri" w:eastAsia="Calibri" w:hAnsi="Calibri"/>
          <w:b/>
          <w:bCs/>
          <w:sz w:val="21"/>
          <w:szCs w:val="21"/>
        </w:rPr>
        <w:t xml:space="preserve">Frühwarnindikator: </w:t>
      </w:r>
      <w:r>
        <w:rPr>
          <w:rFonts w:ascii="Calibri" w:cs="Calibri" w:eastAsia="Calibri" w:hAnsi="Calibri"/>
          <w:sz w:val="21"/>
          <w:szCs w:val="21"/>
        </w:rPr>
        <w:t xml:space="preserve">Antwortet ein Anbieter bis Mittwoch der KW 38 nicht auf den Fragenkatalog, wird nachtelefoniert. Zwei Tage Funkstille in der Auswahlphase sind bereits ein Terminrisiko.</w:t>
      </w:r>
    </w:p>
    <w:p>
      <w:r>
        <w:br w:type="page"/>
      </w:r>
    </w:p>
    <w:p>
      <w:pPr>
        <w:pStyle w:val="Heading1"/>
        <w:spacing w:after="180" w:before="360"/>
      </w:pPr>
      <w:r>
        <w:rPr>
          <w:rFonts w:ascii="Calibri" w:cs="Calibri" w:eastAsia="Calibri" w:hAnsi="Calibri"/>
          <w:b/>
          <w:bCs/>
          <w:color w:val="1F3864"/>
          <w:sz w:val="30"/>
          <w:szCs w:val="30"/>
        </w:rPr>
        <w:t xml:space="preserve">6  Abhängigkeiten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3200"/>
        <w:gridCol w:w="3238"/>
      </w:tblGrid>
      <w:tr>
        <w:trPr>
          <w:tblHeader/>
        </w:trPr>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Setzt voraus</w:t>
            </w:r>
          </w:p>
        </w:tc>
        <w:tc>
          <w:tcPr>
            <w:tcW w:type="dxa" w:w="3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Ermöglicht</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freigeben (B)</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Ist-Aufnahme (A)</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Fragenkatalog und Angebotsanfrage</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(C)</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Fragenkatalog versendet, Termine fixiert</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der Anbieter</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Testimport in RZL (C)</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Musterexport der Anbieter, Kapazität der Steuerberatung</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Entscheidung über die Buchhaltungsschnittstelle</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(D)</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Angebote, Referenzen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Entscheidungsvorlage</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Entscheidung und Vertrag (E)</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Bewertung, geprüfter Vertragsentwurf</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Zugang zum System, Kickoff</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Zugänge, freigegebene Vorlagen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(F)</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Zoho-Export, bereinigte Daten, Einheitenliste</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Testfälle mit echten Daten</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Zahlungsanbindung (F)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Mandatsliste, Gläubiger-ID, Entscheidung zum Betriebsmodell</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Testeinzug und späterer Produktivlauf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Abnahme (G)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Testfälle Klasse A fehlerfrei, Testlauf 2 sauber</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Go-/No-Go</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(H)</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Abnahme, Kundeninformation, Freigabe der Migration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Go-Live und erster Abrechnungslauf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Erster SEPA-Einzug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Vorabinformationsfrist eingehalten, Mandate im System</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Zahlungseingang November</w:t>
            </w:r>
          </w:p>
        </w:tc>
      </w:tr>
    </w:tbl>
    <w:p>
      <w:pPr>
        <w:spacing w:after="140"/>
      </w:pPr>
    </w:p>
    <w:p>
      <w:pPr>
        <w:pStyle w:val="Heading2"/>
        <w:spacing w:after="140" w:before="260"/>
      </w:pPr>
      <w:r>
        <w:rPr>
          <w:rFonts w:ascii="Calibri" w:cs="Calibri" w:eastAsia="Calibri" w:hAnsi="Calibri"/>
          <w:b/>
          <w:bCs/>
          <w:color w:val="1F3864"/>
          <w:sz w:val="24"/>
          <w:szCs w:val="24"/>
        </w:rPr>
        <w:t xml:space="preserve">6.1  Eine Abhängigkeit, die leicht übersehen wird</w:t>
      </w:r>
    </w:p>
    <w:p>
      <w:pPr>
        <w:spacing w:after="120" w:line="276"/>
      </w:pPr>
      <w:r>
        <w:rPr>
          <w:rFonts w:ascii="Calibri" w:cs="Calibri" w:eastAsia="Calibri" w:hAnsi="Calibri"/>
          <w:b/>
          <w:bCs/>
          <w:sz w:val="21"/>
          <w:szCs w:val="21"/>
        </w:rPr>
        <w:t xml:space="preserve">Die SEPA-Vorabinformation. </w:t>
      </w:r>
      <w:r>
        <w:rPr>
          <w:rFonts w:ascii="Calibri" w:cs="Calibri" w:eastAsia="Calibri" w:hAnsi="Calibri"/>
          <w:sz w:val="21"/>
          <w:szCs w:val="21"/>
        </w:rPr>
        <w:t xml:space="preserve">Kundinnen und Kunden müssen vor dem Einzug über Betrag und Fälligkeit informiert werden. Ist im Mietvertrag keine verkürzte Frist vereinbart, gilt die übliche Frist von 14 Tagen – dann müsste die Ankündigung des November-Einzugs bereits Mitte Oktober erfolgen, also vor dem Go-Live.</w:t>
      </w:r>
    </w:p>
    <w:p>
      <w:pPr>
        <w:spacing w:after="120" w:line="276"/>
      </w:pPr>
      <w:r>
        <w:rPr>
          <w:rFonts w:ascii="Calibri" w:cs="Calibri" w:eastAsia="Calibri" w:hAnsi="Calibri"/>
          <w:sz w:val="21"/>
          <w:szCs w:val="21"/>
        </w:rPr>
        <w:t xml:space="preserve">Deshalb ist die Prüfung der vereinbarten Frist als Arbeitspaket 5.6 in Woche 5 eingeplant. Zwei Auswege stehen bereit: entweder die im Vertrag vereinbarte kürzere Frist nutzen, oder den ersten Einzug im November noch über den bisherigen Weg abwickeln und ab Dezember vollständig aus dem neuen System einziehen. Die Entscheidung darüber fällt spätestens am Go-/No-Go-Termin.</w:t>
      </w:r>
    </w:p>
    <w:p>
      <w:pPr>
        <w:pStyle w:val="Heading1"/>
        <w:spacing w:after="180" w:before="360"/>
      </w:pPr>
      <w:r>
        <w:rPr>
          <w:rFonts w:ascii="Calibri" w:cs="Calibri" w:eastAsia="Calibri" w:hAnsi="Calibri"/>
          <w:b/>
          <w:bCs/>
          <w:color w:val="1F3864"/>
          <w:sz w:val="30"/>
          <w:szCs w:val="30"/>
        </w:rPr>
        <w:t xml:space="preserve">7  Parallelstränge ohne Abhängigkeit von der Anbieterentscheidung</w:t>
      </w:r>
    </w:p>
    <w:p>
      <w:pPr>
        <w:spacing w:after="120" w:line="276"/>
      </w:pPr>
      <w:r>
        <w:rPr>
          <w:rFonts w:ascii="Calibri" w:cs="Calibri" w:eastAsia="Calibri" w:hAnsi="Calibri"/>
          <w:sz w:val="21"/>
          <w:szCs w:val="21"/>
        </w:rPr>
        <w:t xml:space="preserve">Diese Arbeiten laufen unabhängig vom Auswahlverfahren und sollten früh starten – sie sind der eigentliche Zeitgewinn im Plan.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500"/>
        <w:gridCol w:w="2600"/>
        <w:gridCol w:w="29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Strang</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Start</w:t>
            </w:r>
          </w:p>
        </w:tc>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29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Warum früh</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Mandatsliste aus Bank und Unterlagen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vollständige Liste mit IBAN und Referenz</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Voraussetzung jeder Zahlungsvariante</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Einheitenliste und Begehung vor Ort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verifizierte Belegung</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in Zoho nicht strukturiert vorhanden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Datenbereinigung im Zoho-Export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W2</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importfähige Daten</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verkürzt den Migrationstest</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Umstellung der Überweiser auf Lastschrift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W3</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höherer Lastschriftanteil</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Rücklauf braucht drei bis vier Wochen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Prüfaufträge Steuer- und Rechtsberatung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geklärte Vorgaben</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beeinflusst die Konfiguration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Vorbereitung der Kundenkommunikation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W3</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freigegebene Texte</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muss zum Go-Live fertig sein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Archivkonzept für das Altsystem</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W4</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Aufbewahrung gesichert</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Voraussetzung für die Kündigung von Zoho</w:t>
            </w:r>
          </w:p>
        </w:tc>
      </w:tr>
    </w:tbl>
    <w:p>
      <w:r>
        <w:br w:type="page"/>
      </w:r>
    </w:p>
    <w:p>
      <w:pPr>
        <w:pStyle w:val="Heading1"/>
        <w:spacing w:after="180" w:before="360"/>
      </w:pPr>
      <w:r>
        <w:rPr>
          <w:rFonts w:ascii="Calibri" w:cs="Calibri" w:eastAsia="Calibri" w:hAnsi="Calibri"/>
          <w:b/>
          <w:bCs/>
          <w:color w:val="1F3864"/>
          <w:sz w:val="30"/>
          <w:szCs w:val="30"/>
        </w:rPr>
        <w:t xml:space="preserve">8  Zusatzaufgaben je nach Systementscheidung</w:t>
      </w:r>
    </w:p>
    <w:p>
      <w:pPr>
        <w:spacing w:after="120" w:line="276"/>
      </w:pPr>
      <w:r>
        <w:rPr>
          <w:rFonts w:ascii="Calibri" w:cs="Calibri" w:eastAsia="Calibri" w:hAnsi="Calibri"/>
          <w:sz w:val="21"/>
          <w:szCs w:val="21"/>
        </w:rPr>
        <w:t xml:space="preserve">Bis M5 ist der Plan identisch. Ab der Beauftragung unterscheiden sich Aufwand und Terminrisiko: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600"/>
        <w:gridCol w:w="2519"/>
        <w:gridCol w:w="2519"/>
      </w:tblGrid>
      <w:tr>
        <w:trPr>
          <w:tblHeader/>
        </w:trPr>
        <w:tc>
          <w:tcPr>
            <w:tcW w:type="dxa" w:w="2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Thema</w:t>
            </w:r>
          </w:p>
        </w:tc>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Bei Kinnovis</w:t>
            </w:r>
          </w:p>
        </w:tc>
        <w:tc>
          <w:tcPr>
            <w:tcW w:type="dxa" w:w="2519"/>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Bei Stora</w:t>
            </w:r>
          </w:p>
        </w:tc>
        <w:tc>
          <w:tcPr>
            <w:tcW w:type="dxa" w:w="2519"/>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Bei Store365</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Zahlungsweg</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SEPA-Datei für die eigene Bank, Bestand läuft unverändert weiter</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vollständige Umstellung auf Stripe erforderlich</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abhängig von der Antwort auf Frage S-01 – Bankweg oder Dienstleister</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Gläubiger-ID</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bleibt bei deinPlatz</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eigene Gläubiger-ID muss vor der ersten Live-Zahlung in Stripe hinterlegt werden, danach nicht mehr änderbar</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bei Bankweg unverändert, bei Dienstleister dieselbe Regel wie bei Stripe</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Mandate</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Import der bestehenden Mandate</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Portierung zu Stripe, Vorlauf einplanen</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Mandatsimport erfragen</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Zusätzlicher Terminbedarf</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gering</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 bis zwei Wochen für Konto, Verifizierung und Mandatsportierung</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gering bis mittel, je nach Zahlungsweg</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Buchhaltung</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DATEV-Report als Ausgangspunkt für RZL</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Exportformat für RZL muss aufgebaut werden</w:t>
            </w:r>
          </w:p>
        </w:tc>
        <w:tc>
          <w:tcPr>
            <w:tcW w:type="dxa" w:w="2519"/>
            <w:tcMar>
              <w:top w:type="dxa" w:w="60"/>
              <w:left w:type="dxa" w:w="90"/>
              <w:bottom w:type="dxa" w:w="60"/>
              <w:right w:type="dxa" w:w="90"/>
            </w:tcMar>
          </w:tcPr>
          <w:p>
            <w:pPr>
              <w:spacing w:after="0" w:line="250"/>
            </w:pPr>
            <w:r>
              <w:rPr>
                <w:rFonts w:ascii="Calibri" w:cs="Calibri" w:eastAsia="Calibri" w:hAnsi="Calibri"/>
                <w:sz w:val="18"/>
                <w:szCs w:val="18"/>
              </w:rPr>
              <w:t xml:space="preserve">Buchhaltungsintegration und offene API, Format für RZL zu klären</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Auswirkung auf den Go-Live</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30.10. planbar</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30.10. nur haltbar, wenn das Stripe-Setup in W6 abgeschlossen ist</w:t>
            </w:r>
          </w:p>
        </w:tc>
        <w:tc>
          <w:tcPr>
            <w:tcW w:type="dxa" w:w="2519"/>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30.10. planbar, sofern der Zahlungsweg in W5 feststeht</w:t>
            </w:r>
          </w:p>
        </w:tc>
      </w:tr>
    </w:tbl>
    <w:p>
      <w:pPr>
        <w:spacing w:after="140"/>
      </w:pPr>
    </w:p>
    <w:p>
      <w:pPr>
        <w:spacing w:after="120" w:line="276"/>
      </w:pPr>
      <w:r>
        <w:rPr>
          <w:rFonts w:ascii="Calibri" w:cs="Calibri" w:eastAsia="Calibri" w:hAnsi="Calibri"/>
          <w:b/>
          <w:bCs/>
          <w:sz w:val="21"/>
          <w:szCs w:val="21"/>
        </w:rPr>
        <w:t xml:space="preserve">Planerische Konsequenz: </w:t>
      </w:r>
      <w:r>
        <w:rPr>
          <w:rFonts w:ascii="Calibri" w:cs="Calibri" w:eastAsia="Calibri" w:hAnsi="Calibri"/>
          <w:sz w:val="21"/>
          <w:szCs w:val="21"/>
        </w:rPr>
        <w:t xml:space="preserve">Fällt die Entscheidung auf Stora, wird das Stripe-Setup zum zweiten kritischen Strang und muss am Tag nach der Beauftragung starten. Bei Store365 hängt der Terminbedarf am Zahlungsweg – deshalb gehört diese Frage bereits in die Demo, nicht erst in die Einrichtung.</w:t>
      </w:r>
    </w:p>
    <w:p>
      <w:pPr>
        <w:pStyle w:val="Heading1"/>
        <w:spacing w:after="180" w:before="360"/>
      </w:pPr>
      <w:r>
        <w:rPr>
          <w:rFonts w:ascii="Calibri" w:cs="Calibri" w:eastAsia="Calibri" w:hAnsi="Calibri"/>
          <w:b/>
          <w:bCs/>
          <w:color w:val="1F3864"/>
          <w:sz w:val="30"/>
          <w:szCs w:val="30"/>
        </w:rPr>
        <w:t xml:space="preserve">9  Cutover-Woche im Detail</w:t>
      </w:r>
    </w:p>
    <w:p>
      <w:pPr>
        <w:spacing w:after="120" w:line="276"/>
      </w:pPr>
      <w:r>
        <w:rPr>
          <w:rFonts w:ascii="Calibri" w:cs="Calibri" w:eastAsia="Calibri" w:hAnsi="Calibri"/>
          <w:sz w:val="21"/>
          <w:szCs w:val="21"/>
        </w:rPr>
        <w:t xml:space="preserve">Der Cutover liegt bewusst am Monatsende: Der November beginnt vollständig im neuen System, und es entstehen keine doppelten oder fehlenden Rechnungen.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4300"/>
        <w:gridCol w:w="3838"/>
      </w:tblGrid>
      <w:tr>
        <w:trPr>
          <w:tblHeader/>
        </w:trPr>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Tag</w:t>
            </w:r>
          </w:p>
        </w:tc>
        <w:tc>
          <w:tcPr>
            <w:tcW w:type="dxa" w:w="4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Aufgaben</w:t>
            </w:r>
          </w:p>
        </w:tc>
        <w:tc>
          <w:tcPr>
            <w:tcW w:type="dxa" w:w="38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Entscheidungspunkt</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26.10.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Nationalfeiertag – keine Projektarbeit</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4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Datenannahmestopp in Zoho; finaler Vollexport; produktive Migration; Abgleich nach Prüfkriterien; Deltaliste des Tages führen</w:t>
            </w:r>
          </w:p>
        </w:tc>
        <w:tc>
          <w:tcPr>
            <w:tcW w:type="dxa" w:w="3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der Migration durch Finanzen – ohne Freigabe Abbruch und Rückfall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Mi 28.10.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Go-Live: alle Neuvorgänge im neuen System; Zutritt stichprobenartig prüfen; Kundeninformation versenden; Kurzanleitungen am Arbeitsplatz</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Betrieb umgestellt</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29.10.</w:t>
            </w:r>
          </w:p>
        </w:tc>
        <w:tc>
          <w:tcPr>
            <w:tcW w:type="dxa" w:w="4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Abrechnungslauf November in der Vorschau prüfen; Freigabe im Vier-Augen-Prinzip; Versand; Stichprobe von zehn Rechnungen</w:t>
            </w:r>
          </w:p>
        </w:tc>
        <w:tc>
          <w:tcPr>
            <w:tcW w:type="dxa" w:w="3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Rechnungen korrekt – sonst Versand stoppen</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SEPA-Einzug beziehungsweise Zahlungslauf auslösen; Vorabinformationsfrist beachten; Hypercare starten; Archiv des Altsystems prüfen</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Go-Live abgeschlossen (M8)</w:t>
            </w:r>
          </w:p>
        </w:tc>
      </w:tr>
    </w:tbl>
    <w:p>
      <w:pPr>
        <w:spacing w:after="140"/>
      </w:pPr>
    </w:p>
    <w:p>
      <w:pPr>
        <w:pStyle w:val="Heading2"/>
        <w:spacing w:after="140" w:before="260"/>
      </w:pPr>
      <w:r>
        <w:rPr>
          <w:rFonts w:ascii="Calibri" w:cs="Calibri" w:eastAsia="Calibri" w:hAnsi="Calibri"/>
          <w:b/>
          <w:bCs/>
          <w:color w:val="1F3864"/>
          <w:sz w:val="24"/>
          <w:szCs w:val="24"/>
        </w:rPr>
        <w:t xml:space="preserve">9.1  Hypercare</w:t>
      </w:r>
    </w:p>
    <w:p>
      <w:pPr>
        <w:pStyle w:val="ListParagraph"/>
        <w:numPr>
          <w:ilvl w:val="0"/>
          <w:numId w:val="2"/>
        </w:numPr>
        <w:spacing w:after="80" w:line="276"/>
      </w:pPr>
      <w:r>
        <w:rPr>
          <w:rFonts w:ascii="Calibri" w:cs="Calibri" w:eastAsia="Calibri" w:hAnsi="Calibri"/>
          <w:sz w:val="21"/>
          <w:szCs w:val="21"/>
        </w:rPr>
        <w:t xml:space="preserve">Zwei Wochen lang tägliches Kurz-Standup von 15 Minuten: Was hat gestern nicht funktioniert?</w:t>
      </w:r>
    </w:p>
    <w:p>
      <w:pPr>
        <w:pStyle w:val="ListParagraph"/>
        <w:numPr>
          <w:ilvl w:val="0"/>
          <w:numId w:val="2"/>
        </w:numPr>
        <w:spacing w:after="80" w:line="276"/>
      </w:pPr>
      <w:r>
        <w:rPr>
          <w:rFonts w:ascii="Calibri" w:cs="Calibri" w:eastAsia="Calibri" w:hAnsi="Calibri"/>
          <w:sz w:val="21"/>
          <w:szCs w:val="21"/>
        </w:rPr>
        <w:t xml:space="preserve">Tägliche Kontrolle von Zahlungseingängen, fehlgeschlagenen Einzügen und offenen Posten</w:t>
      </w:r>
    </w:p>
    <w:p>
      <w:pPr>
        <w:pStyle w:val="ListParagraph"/>
        <w:numPr>
          <w:ilvl w:val="0"/>
          <w:numId w:val="2"/>
        </w:numPr>
        <w:spacing w:after="80" w:line="276"/>
      </w:pPr>
      <w:r>
        <w:rPr>
          <w:rFonts w:ascii="Calibri" w:cs="Calibri" w:eastAsia="Calibri" w:hAnsi="Calibri"/>
          <w:sz w:val="21"/>
          <w:szCs w:val="21"/>
        </w:rPr>
        <w:t xml:space="preserve">Zentrale Fehlerliste, tägliche Nachverfolgung mit dem Anbieter</w:t>
      </w:r>
    </w:p>
    <w:p>
      <w:pPr>
        <w:pStyle w:val="ListParagraph"/>
        <w:numPr>
          <w:ilvl w:val="0"/>
          <w:numId w:val="2"/>
        </w:numPr>
        <w:spacing w:after="80" w:line="276"/>
      </w:pPr>
      <w:r>
        <w:rPr>
          <w:rFonts w:ascii="Calibri" w:cs="Calibri" w:eastAsia="Calibri" w:hAnsi="Calibri"/>
          <w:sz w:val="21"/>
          <w:szCs w:val="21"/>
        </w:rPr>
        <w:t xml:space="preserve">Nach zwei Wochen Übergang in den Regelbetrieb, Restpunkte in eine Nachlaufliste</w:t>
      </w:r>
    </w:p>
    <w:p>
      <w:r>
        <w:br w:type="page"/>
      </w:r>
    </w:p>
    <w:p>
      <w:pPr>
        <w:pStyle w:val="Heading1"/>
        <w:spacing w:after="180" w:before="360"/>
      </w:pPr>
      <w:r>
        <w:rPr>
          <w:rFonts w:ascii="Calibri" w:cs="Calibri" w:eastAsia="Calibri" w:hAnsi="Calibri"/>
          <w:b/>
          <w:bCs/>
          <w:color w:val="1F3864"/>
          <w:sz w:val="30"/>
          <w:szCs w:val="30"/>
        </w:rPr>
        <w:t xml:space="preserve">10  Ressourcen und Aufwand</w:t>
      </w:r>
    </w:p>
    <w:p>
      <w:pPr>
        <w:spacing w:after="120" w:line="276"/>
      </w:pPr>
      <w:r>
        <w:rPr>
          <w:rFonts w:ascii="Calibri" w:cs="Calibri" w:eastAsia="Calibri" w:hAnsi="Calibri"/>
          <w:sz w:val="21"/>
          <w:szCs w:val="21"/>
        </w:rPr>
        <w:t xml:space="preserve">Schätzung in Personentagen über die gesamte Projektlaufzeit. Der interne Aufwand konzentriert sich auf die Wochen 6 bis 8.</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300"/>
        <w:gridCol w:w="1300"/>
        <w:gridCol w:w="1300"/>
        <w:gridCol w:w="31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Rolle</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W1–W2</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W3–W5</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W6–W8</w:t>
            </w:r>
          </w:p>
        </w:tc>
        <w:tc>
          <w:tcPr>
            <w:tcW w:type="dxa" w:w="31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Summe und Schwerpunkt</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Geschäftsführung</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5,0 – Freigaben, Entscheidung, Go-/No-Go</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Projektleitung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8,0</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15,0 – Steuerung, Anbieter, Cutover</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Fachverantwortung Betrieb</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4,5</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8,0 – Einheitenliste, Test, Go-Live</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Fachverantwortung Finanzen</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2,5</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5,5</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10,0 – Mandate, Abrechnung, Abnahme</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5,0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6,0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9,0</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20,0 – Analyse, Auswahl, Migration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0,3</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0,5</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0,7</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1,5 – RZL-Test, Kontenrahmen, erster Abschluss</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Anbieter</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nach Angebot</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Konfiguration, Migration, Schulung</w:t>
            </w:r>
          </w:p>
        </w:tc>
      </w:tr>
    </w:tbl>
    <w:p>
      <w:pPr>
        <w:spacing w:after="120"/>
      </w:pPr>
    </w:p>
    <w:p>
      <w:pPr>
        <w:spacing w:after="120" w:line="276"/>
      </w:pPr>
      <w:r>
        <w:rPr>
          <w:rFonts w:ascii="Calibri" w:cs="Calibri" w:eastAsia="Calibri" w:hAnsi="Calibri"/>
          <w:b/>
          <w:bCs/>
          <w:sz w:val="21"/>
          <w:szCs w:val="21"/>
        </w:rPr>
        <w:t xml:space="preserve">Engpass: </w:t>
      </w:r>
      <w:r>
        <w:rPr>
          <w:rFonts w:ascii="Calibri" w:cs="Calibri" w:eastAsia="Calibri" w:hAnsi="Calibri"/>
          <w:sz w:val="21"/>
          <w:szCs w:val="21"/>
        </w:rPr>
        <w:t xml:space="preserve">In den Wochen 6 bis 8 fallen intern rund 18 Personentage an – bei laufendem Betrieb. Feste Zeitfenster sind vorab zu reservieren, sonst wandert die Projektarbeit in den Abend und die Qualität der Tests leidet genau dort, wo sie am wichtigsten ist.</w:t>
      </w:r>
    </w:p>
    <w:p>
      <w:pPr>
        <w:pStyle w:val="Heading1"/>
        <w:spacing w:after="180" w:before="360"/>
      </w:pPr>
      <w:r>
        <w:rPr>
          <w:rFonts w:ascii="Calibri" w:cs="Calibri" w:eastAsia="Calibri" w:hAnsi="Calibri"/>
          <w:b/>
          <w:bCs/>
          <w:color w:val="1F3864"/>
          <w:sz w:val="30"/>
          <w:szCs w:val="30"/>
        </w:rPr>
        <w:t xml:space="preserve">11  Risiken auf dem kritischen Pfad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2900"/>
        <w:gridCol w:w="1500"/>
        <w:gridCol w:w="4538"/>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2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Risiko</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Wirkung</w:t>
            </w:r>
          </w:p>
        </w:tc>
        <w:tc>
          <w:tcPr>
            <w:tcW w:type="dxa" w:w="45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Gegenmaßnahme und Frühwarnung</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K1</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Entscheidung verzögert sich über den 09.10. hinaus</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Go-Live kippt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Entscheidungstermin fix im Kalender, Vorlage drei Tage vorher; ab 12.10. greift Plan B</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K2</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Buchhaltungsexport ist nicht in RZL importierbar</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Kernanforderung ungelöst</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Testimport bereits in W3; Rückfall auf Mapping-Datei oder monatlichen Sammelbeleg</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K3</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Anbieter startet nicht innerhalb einer Woche nach Beauftragung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Konfiguration rutscht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Startzusage schriftlich in W2 einholen; Kickoff-Termin im Vertrag fixieren</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K4</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Datenqualität schlechter als erwartet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 verzögert</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Bereinigung ab W2 parallel; Testlauf 1 bereits in W6</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K5</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Zuordnung Kunde zu Lagerabteil unvollständig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Abrechnung fehlerhaft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Einheitenliste in W1, Begehung vor Ort in W3</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K6</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Gläubiger-ID bei Stripe falsch konfiguriert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 Mandate müssten neu eingeholt werden</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vor der ersten Live-Zahlung schriftlich bestätigen lassen</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K7</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Vorabinformationsfrist verhindert den ersten Einzug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Zahlungseingang verzögert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Frist in W5 prüfen; ersten Einzug notfalls über den bisherigen Weg</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K8</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Kapazität im Tagesgeschäft reicht nicht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Tests unvollständig</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feste Zeitfenster, Aufgaben an Beratung und Anbieter verlagern</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K9</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Klasse-A-Fehler bleiben in W7 offen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keine Abnahme</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Fehler täglich mit dem Anbieter nachhalten; Scope-Reduktion statt Terminverschiebung</w:t>
            </w:r>
          </w:p>
        </w:tc>
      </w:tr>
    </w:tbl>
    <w:p>
      <w:r>
        <w:br w:type="page"/>
      </w:r>
    </w:p>
    <w:p>
      <w:pPr>
        <w:pStyle w:val="Heading1"/>
        <w:spacing w:after="180" w:before="360"/>
      </w:pPr>
      <w:r>
        <w:rPr>
          <w:rFonts w:ascii="Calibri" w:cs="Calibri" w:eastAsia="Calibri" w:hAnsi="Calibri"/>
          <w:b/>
          <w:bCs/>
          <w:color w:val="1F3864"/>
          <w:sz w:val="30"/>
          <w:szCs w:val="30"/>
        </w:rPr>
        <w:t xml:space="preserve">12  Rückfallebenen</w:t>
      </w:r>
    </w:p>
    <w:p>
      <w:pPr>
        <w:spacing w:after="120" w:line="276"/>
      </w:pPr>
      <w:r>
        <w:rPr>
          <w:rFonts w:ascii="Calibri" w:cs="Calibri" w:eastAsia="Calibri" w:hAnsi="Calibri"/>
          <w:sz w:val="21"/>
          <w:szCs w:val="21"/>
        </w:rPr>
        <w:t xml:space="preserve">Der Plan hat keinen Zeitpuffer. Statt dessen sind drei abgestufte Rückfallebenen definiert. Welche gezogen wird, entscheidet die Geschäftsführung am jeweiligen Entscheidungspunkt.</w:t>
      </w:r>
    </w:p>
    <w:p>
      <w:pPr>
        <w:pStyle w:val="Heading2"/>
        <w:spacing w:after="140" w:before="260"/>
      </w:pPr>
      <w:r>
        <w:rPr>
          <w:rFonts w:ascii="Calibri" w:cs="Calibri" w:eastAsia="Calibri" w:hAnsi="Calibri"/>
          <w:b/>
          <w:bCs/>
          <w:color w:val="1F3864"/>
          <w:sz w:val="24"/>
          <w:szCs w:val="24"/>
        </w:rPr>
        <w:t xml:space="preserve">12.1  Stufe 1 – Umfang reduzieren, Termin halten</w:t>
      </w:r>
    </w:p>
    <w:p>
      <w:pPr>
        <w:spacing w:after="120" w:line="276"/>
      </w:pPr>
      <w:r>
        <w:rPr>
          <w:rFonts w:ascii="Calibri" w:cs="Calibri" w:eastAsia="Calibri" w:hAnsi="Calibri"/>
          <w:sz w:val="21"/>
          <w:szCs w:val="21"/>
        </w:rPr>
        <w:t xml:space="preserve">Ausgelöst, wenn in W6 oder W7 Rückstand entsteht. Zum Go-Live gehen nur Kundenstamm, Verträge, Abrechnung und Zahlungen produktiv. Buchungsstrecke, Kundenportal, Anlageplan und Zutrittsintegration folgen im November. Der Termin 30.10. bleibt.</w:t>
      </w:r>
    </w:p>
    <w:p>
      <w:pPr>
        <w:pStyle w:val="Heading2"/>
        <w:spacing w:after="140" w:before="260"/>
      </w:pPr>
      <w:r>
        <w:rPr>
          <w:rFonts w:ascii="Calibri" w:cs="Calibri" w:eastAsia="Calibri" w:hAnsi="Calibri"/>
          <w:b/>
          <w:bCs/>
          <w:color w:val="1F3864"/>
          <w:sz w:val="24"/>
          <w:szCs w:val="24"/>
        </w:rPr>
        <w:t xml:space="preserve">12.2  Stufe 2 – Cutover auf den nächsten Monatswechsel</w:t>
      </w:r>
    </w:p>
    <w:p>
      <w:pPr>
        <w:spacing w:after="120" w:line="276"/>
      </w:pPr>
      <w:r>
        <w:rPr>
          <w:rFonts w:ascii="Calibri" w:cs="Calibri" w:eastAsia="Calibri" w:hAnsi="Calibri"/>
          <w:sz w:val="21"/>
          <w:szCs w:val="21"/>
        </w:rPr>
        <w:t xml:space="preserve">Ausgelöst, wenn die Abnahme am 23.10. nicht erteilt werden kann oder der Migrationsabgleich am 27.10. scheitert. Der Cutover verschiebt sich auf den Monatswechsel November/Dezember (Produktivmigration ab Di 24.11., Go-Live Mi 25.11., Abrechnung Dezember aus dem neuen System). Zoho läuft bis dahin weiter – die Kündigung ist entsprechend zu terminieren.</w:t>
      </w:r>
    </w:p>
    <w:p>
      <w:pPr>
        <w:pStyle w:val="Heading2"/>
        <w:spacing w:after="140" w:before="260"/>
      </w:pPr>
      <w:r>
        <w:rPr>
          <w:rFonts w:ascii="Calibri" w:cs="Calibri" w:eastAsia="Calibri" w:hAnsi="Calibri"/>
          <w:b/>
          <w:bCs/>
          <w:color w:val="1F3864"/>
          <w:sz w:val="24"/>
          <w:szCs w:val="24"/>
        </w:rPr>
        <w:t xml:space="preserve">12.3  Stufe 3 – Abrechnung übergangsweise getrennt</w:t>
      </w:r>
    </w:p>
    <w:p>
      <w:pPr>
        <w:spacing w:after="120" w:line="276"/>
      </w:pPr>
      <w:r>
        <w:rPr>
          <w:rFonts w:ascii="Calibri" w:cs="Calibri" w:eastAsia="Calibri" w:hAnsi="Calibri"/>
          <w:sz w:val="21"/>
          <w:szCs w:val="21"/>
        </w:rPr>
        <w:t xml:space="preserve">Ausgelöst, wenn nur der Zahlungs- oder Buchhaltungsteil hakt, der Betrieb aber laufen soll. Das neue System führt Kunden, Verträge und Belegung; die Fakturierung des betroffenen Monats erfolgt einmalig manuell beziehungsweise über den bisherigen Weg. Diese Stufe ist ausdrücklich auf einen Monat begrenzt.</w:t>
      </w:r>
    </w:p>
    <w:p>
      <w:pPr>
        <w:spacing w:after="140"/>
      </w:pPr>
    </w:p>
    <w:p>
      <w:pPr>
        <w:spacing w:after="120" w:line="276"/>
      </w:pPr>
      <w:r>
        <w:rPr>
          <w:rFonts w:ascii="Calibri" w:cs="Calibri" w:eastAsia="Calibri" w:hAnsi="Calibri"/>
          <w:b/>
          <w:bCs/>
          <w:sz w:val="21"/>
          <w:szCs w:val="21"/>
        </w:rPr>
        <w:t xml:space="preserve">Grundregel für alle drei Stufen: </w:t>
      </w:r>
      <w:r>
        <w:rPr>
          <w:rFonts w:ascii="Calibri" w:cs="Calibri" w:eastAsia="Calibri" w:hAnsi="Calibri"/>
          <w:sz w:val="21"/>
          <w:szCs w:val="21"/>
        </w:rPr>
        <w:t xml:space="preserve">Lieber weniger Funktionen sauber produktiv als der volle Umfang mit fehlerhaften Rechnungen. Rechnungsfehler kosten Vertrauen bei Kundinnen und Kunden, eine verschobene Buchungsstrecke kostet nichts.</w:t>
      </w:r>
    </w:p>
    <w:p>
      <w:pPr>
        <w:pStyle w:val="Heading1"/>
        <w:spacing w:after="180" w:before="360"/>
      </w:pPr>
      <w:r>
        <w:rPr>
          <w:rFonts w:ascii="Calibri" w:cs="Calibri" w:eastAsia="Calibri" w:hAnsi="Calibri"/>
          <w:b/>
          <w:bCs/>
          <w:color w:val="1F3864"/>
          <w:sz w:val="30"/>
          <w:szCs w:val="30"/>
        </w:rPr>
        <w:t xml:space="preserve">13  Entscheidungspunkte und Steuerung</w:t>
      </w:r>
    </w:p>
    <w:p>
      <w:pPr>
        <w:pStyle w:val="Heading2"/>
        <w:spacing w:after="140" w:before="260"/>
      </w:pPr>
      <w:r>
        <w:rPr>
          <w:rFonts w:ascii="Calibri" w:cs="Calibri" w:eastAsia="Calibri" w:hAnsi="Calibri"/>
          <w:b/>
          <w:bCs/>
          <w:color w:val="1F3864"/>
          <w:sz w:val="24"/>
          <w:szCs w:val="24"/>
        </w:rPr>
        <w:t xml:space="preserve">13.1  Gates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1500"/>
        <w:gridCol w:w="3400"/>
        <w:gridCol w:w="3238"/>
      </w:tblGrid>
      <w:tr>
        <w:trPr>
          <w:tblHeader/>
        </w:trPr>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Gate</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Termin</w:t>
            </w:r>
          </w:p>
        </w:tc>
        <w:tc>
          <w:tcPr>
            <w:tcW w:type="dxa" w:w="34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Kriterium</w:t>
            </w:r>
          </w:p>
        </w:tc>
        <w:tc>
          <w:tcPr>
            <w:tcW w:type="dxa" w:w="3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Entscheidet</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G1</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freigegeben, beide Anbieter angefragt</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G2</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Beide Demos gehalten, K.o.-Kriterien geprüft, RZL-Testergebnis vorliegend</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G3</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Anbieterentscheidung und Vertrag – ab hier ist der Termin gesetzt</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G4</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steht, Migrationstest 1 abgeglichen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G5</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Abnahme, Go-/No-Go für den Cutover</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G6</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der produktiven Migration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bl>
    <w:p>
      <w:pPr>
        <w:spacing w:after="140"/>
      </w:pPr>
    </w:p>
    <w:p>
      <w:pPr>
        <w:pStyle w:val="Heading2"/>
        <w:spacing w:after="140" w:before="260"/>
      </w:pPr>
      <w:r>
        <w:rPr>
          <w:rFonts w:ascii="Calibri" w:cs="Calibri" w:eastAsia="Calibri" w:hAnsi="Calibri"/>
          <w:b/>
          <w:bCs/>
          <w:color w:val="1F3864"/>
          <w:sz w:val="24"/>
          <w:szCs w:val="24"/>
        </w:rPr>
        <w:t xml:space="preserve">13.2  Steuerung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200"/>
        <w:gridCol w:w="48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Format</w:t>
            </w:r>
          </w:p>
        </w:tc>
        <w:tc>
          <w:tcPr>
            <w:tcW w:type="dxa" w:w="2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Rhythmus</w:t>
            </w:r>
          </w:p>
        </w:tc>
        <w:tc>
          <w:tcPr>
            <w:tcW w:type="dxa" w:w="48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Inhalt</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Jour fixe</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wöchentlich, fester Slot, 45 Minuten</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Fortschritt, Entscheidungsbedarf, Risiken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Kurz-Standup</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täglich in W6 bis W8, 15 Minuten</w:t>
            </w:r>
          </w:p>
        </w:tc>
        <w:tc>
          <w:tcPr>
            <w:tcW w:type="dxa" w:w="4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Blockaden des Vortages</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Statusbericht</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wöchentlich schriftlich</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Ampel für Termine, Umfang, Budget, Qualität</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Meilensteintermin</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 M1 bis M8</w:t>
            </w:r>
          </w:p>
        </w:tc>
        <w:tc>
          <w:tcPr>
            <w:tcW w:type="dxa" w:w="4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oder Eskalation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Eskalation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bei Verzug über drei Tage auf dem kritischen Pfad</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sofortige Information an die Geschäftsführung</w:t>
            </w:r>
          </w:p>
        </w:tc>
      </w:tr>
    </w:tbl>
    <w:p>
      <w:pPr>
        <w:spacing w:after="140"/>
      </w:pPr>
    </w:p>
    <w:p>
      <w:pPr>
        <w:spacing w:after="120" w:line="276"/>
      </w:pPr>
      <w:r>
        <w:rPr>
          <w:rFonts w:ascii="Calibri" w:cs="Calibri" w:eastAsia="Calibri" w:hAnsi="Calibri"/>
          <w:b/>
          <w:bCs/>
          <w:sz w:val="21"/>
          <w:szCs w:val="21"/>
        </w:rPr>
        <w:t xml:space="preserve">Ein Satz zur Disziplin: </w:t>
      </w:r>
      <w:r>
        <w:rPr>
          <w:rFonts w:ascii="Calibri" w:cs="Calibri" w:eastAsia="Calibri" w:hAnsi="Calibri"/>
          <w:sz w:val="21"/>
          <w:szCs w:val="21"/>
        </w:rPr>
        <w:t xml:space="preserve">In einem Acht-Wochen-Projekt ist die wöchentliche Statusfrage nicht „Was haben wir gemacht?“, sondern „Liegen wir auf dem kritischen Pfad im Plan – und wenn nicht, welche Rückfallebene ziehen wir?“</w:t>
      </w:r>
    </w:p>
    <w:p>
      <w:r>
        <w:br w:type="page"/>
      </w:r>
    </w:p>
    <w:p>
      <w:pPr>
        <w:pStyle w:val="Heading1"/>
        <w:spacing w:after="180" w:before="360"/>
      </w:pPr>
      <w:r>
        <w:rPr>
          <w:rFonts w:ascii="Calibri" w:cs="Calibri" w:eastAsia="Calibri" w:hAnsi="Calibri"/>
          <w:b/>
          <w:bCs/>
          <w:color w:val="1F3864"/>
          <w:sz w:val="30"/>
          <w:szCs w:val="30"/>
        </w:rPr>
        <w:t xml:space="preserve">Anhang A  Terminübersicht kompakt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200"/>
        <w:gridCol w:w="3438"/>
      </w:tblGrid>
      <w:tr>
        <w:trPr>
          <w:tblHeader/>
        </w:trPr>
        <w:tc>
          <w:tcPr>
            <w:tcW w:type="dxa" w:w="2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Datum</w:t>
            </w:r>
          </w:p>
        </w:tc>
        <w:tc>
          <w:tcPr>
            <w:tcW w:type="dxa" w:w="4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Ereignis</w:t>
            </w:r>
          </w:p>
        </w:tc>
        <w:tc>
          <w:tcPr>
            <w:tcW w:type="dxa" w:w="3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Mo 07.09.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Projektstart, Kickoff</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GF, 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M1 – Ist-Bild und Projektauftrag</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M2 – Anforderungen freigegeben, Anbieter angefragt (G1)</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21.09. bis Mi 23.09.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Kinnovis, Stora und Store365</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M3 – Demos und RZL-Testergebnis (G2)</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Spätester Termin für das RZL-Testergebnis</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M4 – Angebote bewertet, Entscheidungsvorlage</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M5 – Anbieter beauftragt (G3) – kritischster Termin</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M6 – Konfiguration und Migrationstest 1 (G4)</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M7 – Abnahme und Go-/No-Go (G5)</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Mo 26.10.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Nationalfeiertag</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Datenannahmestopp und produktive Migration (G6)</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Mi 28.10.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29.10.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Erster Abrechnungslauf November</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M8 – Zahlungslauf, Hypercare, Projektabschluss der Einführung</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bl>
    <w:p>
      <w:pPr>
        <w:spacing w:after="200"/>
      </w:pPr>
    </w:p>
    <w:p>
      <w:pPr>
        <w:pStyle w:val="Heading1"/>
        <w:spacing w:after="180" w:before="360"/>
      </w:pPr>
      <w:r>
        <w:rPr>
          <w:rFonts w:ascii="Calibri" w:cs="Calibri" w:eastAsia="Calibri" w:hAnsi="Calibri"/>
          <w:b/>
          <w:bCs/>
          <w:color w:val="1F3864"/>
          <w:sz w:val="30"/>
          <w:szCs w:val="30"/>
        </w:rPr>
        <w:t xml:space="preserve">Anhang B  Checkliste vor dem Cutover</w:t>
      </w:r>
    </w:p>
    <w:p>
      <w:pPr>
        <w:pStyle w:val="ListParagraph"/>
        <w:numPr>
          <w:ilvl w:val="0"/>
          <w:numId w:val="2"/>
        </w:numPr>
        <w:spacing w:after="80" w:line="276"/>
      </w:pPr>
      <w:r>
        <w:rPr>
          <w:rFonts w:ascii="Calibri" w:cs="Calibri" w:eastAsia="Calibri" w:hAnsi="Calibri"/>
          <w:sz w:val="21"/>
          <w:szCs w:val="21"/>
        </w:rPr>
        <w:t xml:space="preserve">Abnahme erteilt und dokumentiert (M7)</w:t>
      </w:r>
    </w:p>
    <w:p>
      <w:pPr>
        <w:pStyle w:val="ListParagraph"/>
        <w:numPr>
          <w:ilvl w:val="0"/>
          <w:numId w:val="2"/>
        </w:numPr>
        <w:spacing w:after="80" w:line="276"/>
      </w:pPr>
      <w:r>
        <w:rPr>
          <w:rFonts w:ascii="Calibri" w:cs="Calibri" w:eastAsia="Calibri" w:hAnsi="Calibri"/>
          <w:sz w:val="21"/>
          <w:szCs w:val="21"/>
        </w:rPr>
        <w:t xml:space="preserve">Migrationstestlauf 2 ohne Abweichung im Summenabgleich</w:t>
      </w:r>
    </w:p>
    <w:p>
      <w:pPr>
        <w:pStyle w:val="ListParagraph"/>
        <w:numPr>
          <w:ilvl w:val="0"/>
          <w:numId w:val="2"/>
        </w:numPr>
        <w:spacing w:after="80" w:line="276"/>
      </w:pPr>
      <w:r>
        <w:rPr>
          <w:rFonts w:ascii="Calibri" w:cs="Calibri" w:eastAsia="Calibri" w:hAnsi="Calibri"/>
          <w:sz w:val="21"/>
          <w:szCs w:val="21"/>
        </w:rPr>
        <w:t xml:space="preserve">Alle Klasse-A-Fehler behoben und nachgetestet</w:t>
      </w:r>
    </w:p>
    <w:p>
      <w:pPr>
        <w:pStyle w:val="ListParagraph"/>
        <w:numPr>
          <w:ilvl w:val="0"/>
          <w:numId w:val="2"/>
        </w:numPr>
        <w:spacing w:after="80" w:line="276"/>
      </w:pPr>
      <w:r>
        <w:rPr>
          <w:rFonts w:ascii="Calibri" w:cs="Calibri" w:eastAsia="Calibri" w:hAnsi="Calibri"/>
          <w:sz w:val="21"/>
          <w:szCs w:val="21"/>
        </w:rPr>
        <w:t xml:space="preserve">Team geschult, Kurzanleitungen am Arbeitsplatz</w:t>
      </w:r>
    </w:p>
    <w:p>
      <w:pPr>
        <w:pStyle w:val="ListParagraph"/>
        <w:numPr>
          <w:ilvl w:val="0"/>
          <w:numId w:val="2"/>
        </w:numPr>
        <w:spacing w:after="80" w:line="276"/>
      </w:pPr>
      <w:r>
        <w:rPr>
          <w:rFonts w:ascii="Calibri" w:cs="Calibri" w:eastAsia="Calibri" w:hAnsi="Calibri"/>
          <w:sz w:val="21"/>
          <w:szCs w:val="21"/>
        </w:rPr>
        <w:t xml:space="preserve">Kundenanschreiben freigegeben und versandfertig</w:t>
      </w:r>
    </w:p>
    <w:p>
      <w:pPr>
        <w:pStyle w:val="ListParagraph"/>
        <w:numPr>
          <w:ilvl w:val="0"/>
          <w:numId w:val="2"/>
        </w:numPr>
        <w:spacing w:after="80" w:line="276"/>
      </w:pPr>
      <w:r>
        <w:rPr>
          <w:rFonts w:ascii="Calibri" w:cs="Calibri" w:eastAsia="Calibri" w:hAnsi="Calibri"/>
          <w:sz w:val="21"/>
          <w:szCs w:val="21"/>
        </w:rPr>
        <w:t xml:space="preserve">Mandate und Zahlungsarten im Zielsystem vollständig</w:t>
      </w:r>
    </w:p>
    <w:p>
      <w:pPr>
        <w:pStyle w:val="ListParagraph"/>
        <w:numPr>
          <w:ilvl w:val="0"/>
          <w:numId w:val="2"/>
        </w:numPr>
        <w:spacing w:after="80" w:line="276"/>
      </w:pPr>
      <w:r>
        <w:rPr>
          <w:rFonts w:ascii="Calibri" w:cs="Calibri" w:eastAsia="Calibri" w:hAnsi="Calibri"/>
          <w:sz w:val="21"/>
          <w:szCs w:val="21"/>
        </w:rPr>
        <w:t xml:space="preserve">Vorabinformationsfrist geprüft, Termin des ersten Einzugs festgelegt</w:t>
      </w:r>
    </w:p>
    <w:p>
      <w:pPr>
        <w:pStyle w:val="ListParagraph"/>
        <w:numPr>
          <w:ilvl w:val="0"/>
          <w:numId w:val="2"/>
        </w:numPr>
        <w:spacing w:after="80" w:line="276"/>
      </w:pPr>
      <w:r>
        <w:rPr>
          <w:rFonts w:ascii="Calibri" w:cs="Calibri" w:eastAsia="Calibri" w:hAnsi="Calibri"/>
          <w:sz w:val="21"/>
          <w:szCs w:val="21"/>
        </w:rPr>
        <w:t xml:space="preserve">Vollbackup und Archivexport des Altsystems erstellt und lesbar geprüft</w:t>
      </w:r>
    </w:p>
    <w:p>
      <w:pPr>
        <w:pStyle w:val="ListParagraph"/>
        <w:numPr>
          <w:ilvl w:val="0"/>
          <w:numId w:val="2"/>
        </w:numPr>
        <w:spacing w:after="80" w:line="276"/>
      </w:pPr>
      <w:r>
        <w:rPr>
          <w:rFonts w:ascii="Calibri" w:cs="Calibri" w:eastAsia="Calibri" w:hAnsi="Calibri"/>
          <w:sz w:val="21"/>
          <w:szCs w:val="21"/>
        </w:rPr>
        <w:t xml:space="preserve">Notfallkontakt beim Anbieter für die Cutover-Woche bestätigt</w:t>
      </w:r>
    </w:p>
    <w:p>
      <w:pPr>
        <w:pStyle w:val="ListParagraph"/>
        <w:numPr>
          <w:ilvl w:val="0"/>
          <w:numId w:val="2"/>
        </w:numPr>
        <w:spacing w:after="80" w:line="276"/>
      </w:pPr>
      <w:r>
        <w:rPr>
          <w:rFonts w:ascii="Calibri" w:cs="Calibri" w:eastAsia="Calibri" w:hAnsi="Calibri"/>
          <w:sz w:val="21"/>
          <w:szCs w:val="21"/>
        </w:rPr>
        <w:t xml:space="preserve">Rückfallebene und Abbruchkriterium schriftlich festgehalten</w:t>
      </w:r>
    </w:p>
    <w:p>
      <w:pPr>
        <w:spacing w:after="200"/>
      </w:pPr>
    </w:p>
    <w:p>
      <w:pPr>
        <w:pStyle w:val="Heading1"/>
        <w:spacing w:after="180" w:before="360"/>
      </w:pPr>
      <w:r>
        <w:rPr>
          <w:rFonts w:ascii="Calibri" w:cs="Calibri" w:eastAsia="Calibri" w:hAnsi="Calibri"/>
          <w:b/>
          <w:bCs/>
          <w:color w:val="1F3864"/>
          <w:sz w:val="30"/>
          <w:szCs w:val="30"/>
        </w:rPr>
        <w:t xml:space="preserve">Anhang C  Verweise in das Projekt-Repository</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Dokument</w:t>
            </w:r>
          </w:p>
        </w:tc>
        <w:tc>
          <w:tcPr>
            <w:tcW w:type="dxa" w:w="60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Inhalt</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00_management/projektplan_8_wochen.md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Wochenplan in Textform, laufend gepflegt</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00_management/risikoregister.md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vollständiges Risikoregister</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00_management/entscheidungslog.md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Entscheidungen und offene Fragen</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30_markt/benchmark_kinnovis_stora_store365.md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Produktvergleich der drei Kandidaten</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30_markt/benchmark_kinnovis_stora_store365_zahlungsabwicklung.docx</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Report zur Zahlungsabwicklung</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50_umsetzung/migration_zoho.md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Migrationskonzept inklusive Mandaten und Prüfsummen</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50_umsetzung/test_und_abnahme.md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Testfälle und Abnahmekriterien</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50_umsetzung/cutover_go_live.md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Cutover-Ablauf und Rückfallebenen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Projektplan Umstellung Kernsystem  |  deinPlatz.at  |  Go-Live 30.10.2026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 Umstellung Kernsystem deinPlatz</dc:title>
  <dc:creator>accilium</dc:creator>
  <dc:description>Acht-Wochen-Plan bis Go-Live 30.10.2026 mit kritischem Pfad</dc:description>
  <cp:lastModifiedBy>Un-named</cp:lastModifiedBy>
  <cp:revision>1</cp:revision>
  <dcterms:created xsi:type="dcterms:W3CDTF">2026-09-07T11:17:01.226Z</dcterms:created>
  <dcterms:modified xsi:type="dcterms:W3CDTF">2026-09-07T11:17:01.226Z</dcterms:modified>
</cp:coreProperties>
</file>

<file path=docProps/custom.xml><?xml version="1.0" encoding="utf-8"?>
<Properties xmlns="http://schemas.openxmlformats.org/officeDocument/2006/custom-properties" xmlns:vt="http://schemas.openxmlformats.org/officeDocument/2006/docPropsVTypes"/>
</file>