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MASTER SERVICE AGREEMENT</w:t>
      </w:r>
    </w:p>
    <w:p>
      <w:r>
        <w:rPr>
          <w:sz w:val="22"/>
        </w:rPr>
        <w:t>This Master Service Agreement ("Agreement") is entered into as of _________________ ("Effective Date"), between AmriTech IT Solutions LLC, a New Jersey limited liability company ("Provider"), and _________________ ("Client"). This Agreement governs all Services provided by Provider to Client as described in one or more Statements of Work ("SOW") or Service Orders executed hereunder.</w:t>
      </w:r>
    </w:p>
    <w:p>
      <w:pPr>
        <w:pStyle w:val="Heading2"/>
      </w:pPr>
      <w:r>
        <w:rPr>
          <w:b/>
        </w:rPr>
        <w:t>1. SCOPE OF SERVICES</w:t>
      </w:r>
    </w:p>
    <w:p>
      <w:r>
        <w:rPr>
          <w:sz w:val="22"/>
        </w:rPr>
        <w:t>1.1 Provider shall furnish managed IT services, technical support, cybersecurity, and related professional services as detailed in each applicable SOW or Service Order (collectively, "Services"). Each SOW becomes part of this Agreement upon execution by both Parties.</w:t>
      </w:r>
    </w:p>
    <w:p>
      <w:r>
        <w:rPr>
          <w:sz w:val="22"/>
        </w:rPr>
        <w:t>1.2 Provider may use qualified subcontractors to perform Services, provided Provider remains responsible for all subcontractor work. Any changes to scope require a written Change Order signed by both Parties.</w:t>
      </w:r>
    </w:p>
    <w:p>
      <w:pPr>
        <w:pStyle w:val="Heading2"/>
      </w:pPr>
      <w:r>
        <w:rPr>
          <w:b/>
        </w:rPr>
        <w:t>2. TERM AND RENEWAL</w:t>
      </w:r>
    </w:p>
    <w:p>
      <w:r>
        <w:rPr>
          <w:sz w:val="22"/>
        </w:rPr>
        <w:t>2.1 This Agreement commences on the Effective Date and continues for one (1) year, automatically renewing for successive one-year terms unless either Party provides sixty (60) days' written notice of non-renewal prior to the end of the then-current term. Individual SOWs may specify different terms.</w:t>
      </w:r>
    </w:p>
    <w:p>
      <w:pPr>
        <w:pStyle w:val="Heading2"/>
      </w:pPr>
      <w:r>
        <w:rPr>
          <w:b/>
        </w:rPr>
        <w:t>3. FEES AND PAYMENT</w:t>
      </w:r>
    </w:p>
    <w:p>
      <w:r>
        <w:rPr>
          <w:sz w:val="22"/>
        </w:rPr>
        <w:t>3.1 Client shall pay all fees set forth in the applicable SOW or Service Order. Provider shall invoice Client monthly in advance for recurring managed services, and upon completion for project-based work.</w:t>
      </w:r>
    </w:p>
    <w:p>
      <w:r>
        <w:rPr>
          <w:sz w:val="22"/>
        </w:rPr>
        <w:t>3.2 Payment Terms: Net 30 days from invoice date. Overdue balances accrue interest at 1.5% per month (18% per annum) or the maximum permitted by law, whichever is less. Provider may suspend Services upon payment more than thirty (30) days overdue, following written notice. Client shall reimburse Provider for all reasonable collection costs, including attorney's fees.</w:t>
      </w:r>
    </w:p>
    <w:p>
      <w:r>
        <w:rPr>
          <w:sz w:val="22"/>
        </w:rPr>
        <w:t>3.3 Fees may be adjusted annually with sixty (60) days' written notice to Client. Taxes: Client is responsible for all applicable sales, use, or similar taxes.</w:t>
      </w:r>
    </w:p>
    <w:p>
      <w:pPr>
        <w:pStyle w:val="Heading2"/>
      </w:pPr>
      <w:r>
        <w:rPr>
          <w:b/>
        </w:rPr>
        <w:t>4. SERVICE LEVELS</w:t>
      </w:r>
    </w:p>
    <w:p>
      <w:r>
        <w:rPr>
          <w:sz w:val="22"/>
        </w:rPr>
        <w:t>4.1 Provider shall respond to support requests within the following timeframes: Critical (P1 — system down): 15 minutes; High (P2 — major function impaired): 1 hour; Medium (P3 — minor function impaired): 4 hours; Low (P4 — general requests): 1 business day. Standard target resolution for P1/P2 issues: 4 hours best effort.</w:t>
      </w:r>
    </w:p>
    <w:p>
      <w:r>
        <w:rPr>
          <w:sz w:val="22"/>
        </w:rPr>
        <w:t>4.2 Target uptime for managed infrastructure: 99.9% monthly, excluding scheduled maintenance windows (Sundays 2–6 AM ET, with 48-hour advance notice) and events beyond Provider's reasonable control. SLA credits for breach: 5% of monthly fee per incident, capped at 25% of monthly fee. Credits are Client's sole remedy for SLA failures.</w:t>
      </w:r>
    </w:p>
    <w:p>
      <w:pPr>
        <w:pStyle w:val="Heading2"/>
      </w:pPr>
      <w:r>
        <w:rPr>
          <w:b/>
        </w:rPr>
        <w:t>5. CONFIDENTIALITY AND DATA</w:t>
      </w:r>
    </w:p>
    <w:p>
      <w:r>
        <w:rPr>
          <w:sz w:val="22"/>
        </w:rPr>
        <w:t>5.1 Each Party agrees to hold the other's confidential information in strict confidence and use it solely to perform obligations under this Agreement. All Client Data remains Client's sole property. Provider shall encrypt Client Data at rest (AES-256) and in transit (TLS 1.2+), maintain daily backups with 30-day retention, and notify Client within 24 hours of discovering any data breach. Upon termination, Provider shall return or destroy Client Data within 30 days at Client's election.</w:t>
      </w:r>
    </w:p>
    <w:p>
      <w:pPr>
        <w:pStyle w:val="Heading2"/>
      </w:pPr>
      <w:r>
        <w:rPr>
          <w:b/>
        </w:rPr>
        <w:t>6. INTELLECTUAL PROPERTY</w:t>
      </w:r>
    </w:p>
    <w:p>
      <w:r>
        <w:rPr>
          <w:sz w:val="22"/>
        </w:rPr>
        <w:t>6.1 Client retains all rights to its pre-existing IP and Client Data. Provider retains all rights to its tools, methodologies, and pre-existing IP. Work product specifically developed for Client and identified as such in a SOW ("Custom Deliverables") shall be owned by Client upon full payment. Provider retains a non-exclusive license to use general know-how and skills developed during performance of Services.</w:t>
      </w:r>
    </w:p>
    <w:p>
      <w:pPr>
        <w:pStyle w:val="Heading2"/>
      </w:pPr>
      <w:r>
        <w:rPr>
          <w:b/>
        </w:rPr>
        <w:t>7. LIMITATION OF LIABILITY</w:t>
      </w:r>
    </w:p>
    <w:p>
      <w:r>
        <w:rPr>
          <w:sz w:val="22"/>
        </w:rPr>
        <w:t>7.1 NEITHER PARTY SHALL BE LIABLE FOR ANY INDIRECT, INCIDENTAL, CONSEQUENTIAL, SPECIAL, OR PUNITIVE DAMAGES, INCLUDING LOST PROFITS OR REVENUE, REGARDLESS OF THE CAUSE OF ACTION OR THE THEORY OF LIABILITY, EVEN IF ADVISED OF THE POSSIBILITY OF SUCH DAMAGES.</w:t>
      </w:r>
    </w:p>
    <w:p>
      <w:r>
        <w:rPr>
          <w:sz w:val="22"/>
        </w:rPr>
        <w:t>7.2 Provider's total aggregate liability for any and all claims arising under or related to this Agreement shall not exceed the total fees paid by Client to Provider in the twelve (12) months immediately preceding the event giving rise to the claim. For claims involving a data breach, the liability cap is twenty-four (24) months of fees paid. These caps do not apply to claims arising from gross negligence or willful misconduct.</w:t>
      </w:r>
    </w:p>
    <w:p>
      <w:pPr>
        <w:pStyle w:val="Heading2"/>
      </w:pPr>
      <w:r>
        <w:rPr>
          <w:b/>
        </w:rPr>
        <w:t>8. TERMINATION</w:t>
      </w:r>
    </w:p>
    <w:p>
      <w:r>
        <w:rPr>
          <w:sz w:val="22"/>
        </w:rPr>
        <w:t>8.1 For Convenience: Either Party may terminate this Agreement upon sixty (60) days' written notice. For Cause: Either Party may terminate immediately upon written notice if the other Party materially breaches this Agreement and fails to cure within thirty (30) days of written notice. Non-Payment: Provider may terminate upon thirty (30) days' written notice if Client's payment is more than sixty (60) days overdue. Upon termination, Provider shall provide ninety (90) days of transition assistance at its then-current T&amp;M rates.</w:t>
      </w:r>
    </w:p>
    <w:p>
      <w:pPr>
        <w:pStyle w:val="Heading2"/>
      </w:pPr>
      <w:r>
        <w:rPr>
          <w:b/>
        </w:rPr>
        <w:t>9. GENERAL PROVISIONS</w:t>
      </w:r>
    </w:p>
    <w:p>
      <w:r>
        <w:rPr>
          <w:sz w:val="22"/>
        </w:rPr>
        <w:t>9.1 Governing Law: This Agreement is governed by the laws of the State of New Jersey, without regard to conflict of laws principles. Disputes shall be subject to the exclusive jurisdiction of state and federal courts in Bergen County, New Jersey.</w:t>
      </w:r>
    </w:p>
    <w:p>
      <w:r>
        <w:rPr>
          <w:sz w:val="22"/>
        </w:rPr>
        <w:t>9.2 Force Majeure: Neither Party shall be liable for delays caused by events beyond its reasonable control, including acts of God, natural disasters, war, terrorism, government action, labor disputes, or internet/power outages. The affected Party shall provide prompt written notice and use reasonable efforts to resume performance.</w:t>
      </w:r>
    </w:p>
    <w:p>
      <w:r>
        <w:rPr>
          <w:sz w:val="22"/>
        </w:rPr>
        <w:t>9.3 Independent Contractor: Provider is an independent contractor. Nothing in this Agreement creates an employment, partnership, joint venture, or agency relationship between the Parties.</w:t>
      </w:r>
    </w:p>
    <w:p>
      <w:r>
        <w:rPr>
          <w:sz w:val="22"/>
        </w:rPr>
        <w:t>9.4 Entire Agreement: This Agreement, together with all SOWs and attachments, constitutes the entire agreement between the Parties and supersedes all prior discussions. Amendments must be in writing and signed by both Parties. If any provision is found unenforceable, the remainder continues in full effect. Waiver of any right does not constitute waiver of any other right. Electronic signatures are valid and binding.</w:t>
      </w:r>
    </w:p>
    <w:p>
      <w:pPr>
        <w:pStyle w:val="Heading2"/>
      </w:pPr>
      <w:r>
        <w:rPr>
          <w:b/>
        </w:rPr>
        <w:t>SIGNATURES</w:t>
      </w:r>
    </w:p>
    <w:p>
      <w:r>
        <w:rPr>
          <w:sz w:val="22"/>
        </w:rPr>
        <w:t>IN WITNESS WHEREOF, the Parties have executed this Agreement as of the Effective Date.</w:t>
      </w:r>
    </w:p>
    <w:tbl>
      <w:tblPr>
        <w:tblStyle w:val="TableGrid"/>
        <w:tblW w:type="auto" w:w="0"/>
        <w:tblLook w:firstColumn="1" w:firstRow="1" w:lastColumn="0" w:lastRow="0" w:noHBand="0" w:noVBand="1" w:val="04A0"/>
      </w:tblPr>
      <w:tblGrid>
        <w:gridCol w:w="4320"/>
        <w:gridCol w:w="4320"/>
      </w:tblGrid>
      <w:tr>
        <w:tc>
          <w:tcPr>
            <w:tcW w:type="dxa" w:w="4320"/>
          </w:tcPr>
          <w:p>
            <w:r>
              <w:t>AMRITECH IT SOLUTIONS LLC</w:t>
            </w:r>
          </w:p>
        </w:tc>
        <w:tc>
          <w:tcPr>
            <w:tcW w:type="dxa" w:w="4320"/>
          </w:tcPr>
          <w:p>
            <w:r>
              <w:t>CLIENT: _________________</w:t>
            </w:r>
          </w:p>
        </w:tc>
      </w:tr>
      <w:tr>
        <w:tc>
          <w:tcPr>
            <w:tcW w:type="dxa" w:w="4320"/>
          </w:tcPr>
          <w:p>
            <w:r>
              <w:t>Signature: _________________</w:t>
            </w:r>
          </w:p>
        </w:tc>
        <w:tc>
          <w:tcPr>
            <w:tcW w:type="dxa" w:w="4320"/>
          </w:tcPr>
          <w:p>
            <w:r>
              <w:t>Signature: _________________</w:t>
            </w:r>
          </w:p>
        </w:tc>
      </w:tr>
      <w:tr>
        <w:tc>
          <w:tcPr>
            <w:tcW w:type="dxa" w:w="4320"/>
          </w:tcPr>
          <w:p>
            <w:r>
              <w:t>Name: _________________</w:t>
            </w:r>
          </w:p>
        </w:tc>
        <w:tc>
          <w:tcPr>
            <w:tcW w:type="dxa" w:w="4320"/>
          </w:tcPr>
          <w:p>
            <w:r>
              <w:t>Name: _________________</w:t>
            </w:r>
          </w:p>
        </w:tc>
      </w:tr>
      <w:tr>
        <w:tc>
          <w:tcPr>
            <w:tcW w:type="dxa" w:w="4320"/>
          </w:tcPr>
          <w:p>
            <w:r>
              <w:t>Title: _________________</w:t>
            </w:r>
          </w:p>
        </w:tc>
        <w:tc>
          <w:tcPr>
            <w:tcW w:type="dxa" w:w="4320"/>
          </w:tcPr>
          <w:p>
            <w:r>
              <w:t>Title: _________________</w:t>
            </w:r>
          </w:p>
        </w:tc>
      </w:tr>
      <w:tr>
        <w:tc>
          <w:tcPr>
            <w:tcW w:type="dxa" w:w="4320"/>
          </w:tcPr>
          <w:p>
            <w:r>
              <w:t>Date: _________________</w:t>
            </w:r>
          </w:p>
        </w:tc>
        <w:tc>
          <w:tcPr>
            <w:tcW w:type="dxa" w:w="4320"/>
          </w:tcPr>
          <w:p>
            <w:r>
              <w:t>Date: _________________</w:t>
            </w:r>
          </w:p>
        </w:tc>
      </w:tr>
    </w:tbl>
    <w:p>
      <w:r>
        <w:t xml:space="preserve"> </w:t>
      </w:r>
    </w:p>
    <w:p>
      <w:r>
        <w:rPr>
          <w:i/>
          <w:color w:val="666666"/>
          <w:sz w:val="18"/>
        </w:rPr>
        <w:t>DISCLAIMER: This document is a draft template prepared by AmriTech IT Solutions AI Legal Assistant. It does not constitute legal advice and does not create an attorney-client relationship. Both parties should have this agreement reviewed by qualified legal counsel before execution. AmriTech IT Solutions LLC makes no representations or warranties as to the legal sufficiency or enforceability of this template in any particular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 — AmriTech IT Solutions</dc:title>
  <dc:subject/>
  <dc:creator>Legal Assistant — AmriTech AI Staff</dc:creator>
  <cp:keywords/>
  <dc:description>generated by python-docx</dc:description>
  <cp:lastModifiedBy/>
  <cp:revision>1</cp:revision>
  <dcterms:created xsi:type="dcterms:W3CDTF">2013-12-23T23:15:00Z</dcterms:created>
  <dcterms:modified xsi:type="dcterms:W3CDTF">2013-12-23T23:15:00Z</dcterms:modified>
  <cp:category/>
</cp:coreProperties>
</file>