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Комплексный анализ ДДС и кассы</w:t>
      </w:r>
      <w:bookmarkEnd w:id="0"/>
    </w:p>
    <w:p>
      <w:pPr/>
      <w:r>
        <w:rPr>
          <w:color w:val="555555"/>
          <w:sz w:val="22"/>
          <w:szCs w:val="22"/>
          <w:i w:val="1"/>
          <w:iCs w:val="1"/>
        </w:rPr>
        <w:t xml:space="preserve">CRM «Автоальянс» · период 22.05.2026 — 16.09.2026 · дата отчёта 17.09.2026</w:t>
      </w:r>
    </w:p>
    <w:p/>
    <w:p>
      <w:pPr/>
      <w:r>
        <w:rPr/>
        <w:t xml:space="preserve">Отчёт объединяет два независимых среза: (1) чистые движения по банковским выпискам без привязки к заказам CRM; (2) управленческий срез с дебиторкой, кредиторкой и платежами «мимо» заявок. Цель — объяснить, почему при работающем обороте свободных денег ощущается мало.</w:t>
      </w:r>
    </w:p>
    <w:p>
      <w:pPr>
        <w:pStyle w:val="Heading2"/>
      </w:pPr>
      <w:bookmarkStart w:id="1" w:name="_Toc1"/>
      <w:r>
        <w:t>1. Резюме для руководителя</w:t>
      </w:r>
      <w:bookmarkEnd w:id="1"/>
    </w:p>
    <w:p>
      <w:pPr>
        <w:numPr>
          <w:ilvl w:val="0"/>
          <w:numId w:val="4"/>
        </w:numPr>
      </w:pPr>
      <w:r>
        <w:rPr/>
        <w:t xml:space="preserve">За ~4 месяца по выпискам пришло 18,84 млн ₽, ушло 18,14 млн ₽. Чистый прирост кассы — всего +705 тыс. ₽ (около 4% от прихода).</w:t>
      </w:r>
    </w:p>
    <w:p>
      <w:pPr>
        <w:numPr>
          <w:ilvl w:val="0"/>
          <w:numId w:val="4"/>
        </w:numPr>
      </w:pPr>
      <w:r>
        <w:rPr/>
        <w:t xml:space="preserve">Без учёта внутригрупповых переводов картина та же: нетто около +888 тыс. ₽. Деньги не «пропали в учёте» — их почти не осталось на счетах.</w:t>
      </w:r>
    </w:p>
    <w:p>
      <w:pPr>
        <w:numPr>
          <w:ilvl w:val="0"/>
          <w:numId w:val="4"/>
        </w:numPr>
      </w:pPr>
      <w:r>
        <w:rPr/>
        <w:t xml:space="preserve">Июль (−466 тыс.) и август (−887 тыс.) были кассово убыточными. Именно эти два месяца создали ощущение нехватки.</w:t>
      </w:r>
    </w:p>
    <w:p>
      <w:pPr>
        <w:numPr>
          <w:ilvl w:val="0"/>
          <w:numId w:val="4"/>
        </w:numPr>
      </w:pPr>
      <w:r>
        <w:rPr/>
        <w:t xml:space="preserve">Дебиторка клиентов по CRM невелика: 676 тыс. ₽ (внешняя ~326 тыс. без внутреннего АА-Смоленск). Это не главный источник кассового голода.</w:t>
      </w:r>
    </w:p>
    <w:p>
      <w:pPr>
        <w:numPr>
          <w:ilvl w:val="0"/>
          <w:numId w:val="4"/>
        </w:numPr>
      </w:pPr>
      <w:r>
        <w:rPr/>
        <w:t xml:space="preserve">Кредиторка перевозчикам по CRM (794 тыс.) уже больше внешней дебиторки. По оборотке заявок вы «в минусе» ещё до затрат парка.</w:t>
      </w:r>
    </w:p>
    <w:p>
      <w:pPr>
        <w:numPr>
          <w:ilvl w:val="0"/>
          <w:numId w:val="4"/>
        </w:numPr>
      </w:pPr>
      <w:r>
        <w:rPr/>
        <w:t xml:space="preserve">73% всех исходящих по банку уходят на перевозчиков + лизинг + топливо. Маржа экспедиции на кассе перекрывается парком и темпом выплат подрядчикам.</w:t>
      </w:r>
    </w:p>
    <w:p>
      <w:pPr>
        <w:numPr>
          <w:ilvl w:val="0"/>
          <w:numId w:val="4"/>
        </w:numPr>
      </w:pPr>
      <w:r>
        <w:rPr/>
        <w:t xml:space="preserve">Значимый объём исходящих (~4,5 млн) и входящих (~3,7 млн) в УУ ещё не разнесён: деньги уже прошли по банку, в CRM статус оплат/заявок отстаёт.</w:t>
      </w:r>
    </w:p>
    <w:p>
      <w:pPr/>
      <w:r>
        <w:rPr>
          <w:b w:val="1"/>
          <w:bCs w:val="1"/>
        </w:rPr>
        <w:t xml:space="preserve">Главный вывод: бизнес кассово работает «в ноль с тонким плюсом». Свободных денег мало не потому, что клиенты массово должны, а потому что темп выплат перевозчикам и собственному парку почти равен темпу сборов, а июль–август сожгли накопленный июньский запас.</w:t>
      </w:r>
    </w:p>
    <w:p>
      <w:pPr>
        <w:pStyle w:val="Heading2"/>
      </w:pPr>
      <w:bookmarkStart w:id="2" w:name="_Toc2"/>
      <w:r>
        <w:t>2. Срез А — только банк (без заказов CRM)</w:t>
      </w:r>
      <w:bookmarkEnd w:id="2"/>
    </w:p>
    <w:p>
      <w:pPr/>
      <w:r>
        <w:rPr>
          <w:color w:val="555555"/>
          <w:sz w:val="22"/>
          <w:szCs w:val="22"/>
          <w:i w:val="1"/>
          <w:iCs w:val="1"/>
        </w:rPr>
        <w:t xml:space="preserve">Источник: строки управленческих выписок (management_statement_lines), дата операции с 22.05.2026. Контрагент извлечён из назначения платежа (часть до «/»). Заказы CRM и графики оплат не использовались.</w:t>
      </w:r>
    </w:p>
    <w:p>
      <w:pPr>
        <w:pStyle w:val="Heading3"/>
      </w:pPr>
      <w:bookmarkStart w:id="3" w:name="_Toc3"/>
      <w:r>
        <w:t>2.1. Итоги периода</w:t>
      </w:r>
      <w:bookmarkEnd w:id="3"/>
    </w:p>
    <w:tbl>
      <w:tblGrid>
        <w:gridCol w:w="4500" w:type="dxa"/>
        <w:gridCol w:w="45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Показатель</w:t>
            </w:r>
          </w:p>
        </w:tc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Сумма, ₽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Приход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18 842 761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Расход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18 138 054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Нетто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+704 707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Число строк выписки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583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Нетто без внутригрупповых (оценка)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~+888 000</w:t>
            </w:r>
          </w:p>
        </w:tc>
      </w:tr>
    </w:tbl>
    <w:p>
      <w:pPr>
        <w:pStyle w:val="Heading3"/>
      </w:pPr>
      <w:bookmarkStart w:id="4" w:name="_Toc4"/>
      <w:r>
        <w:t>2.2. Помесячно</w:t>
      </w:r>
      <w:bookmarkEnd w:id="4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Месяц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Приход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Расход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Нетто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Май (с 22.05)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320 000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2 305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+317 695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Июнь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4 206 661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2 804 950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+1 401 711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Июль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4 391 000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4 857 413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−466 413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Август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5 308 600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6 195 660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−887 060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Сентябрь (до 16.09)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4 616 500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4 277 727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+338 773</w:t>
            </w:r>
          </w:p>
        </w:tc>
      </w:tr>
    </w:tbl>
    <w:p>
      <w:pPr>
        <w:pStyle w:val="Heading3"/>
      </w:pPr>
      <w:bookmarkStart w:id="5" w:name="_Toc5"/>
      <w:r>
        <w:t>2.3. По счетам</w:t>
      </w:r>
      <w:bookmarkEnd w:id="5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Счёт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Приход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Расход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Нетто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Сбер ****1997 (АА-Смоленск)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17 173 761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16 528 304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+645 457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Альфа ****1726 (Гросс)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638 000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566 133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+71 867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Альфа ****0001 (Профсфера)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1 031 000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1 043 617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−12 617</w:t>
            </w:r>
          </w:p>
        </w:tc>
      </w:tr>
    </w:tbl>
    <w:p>
      <w:pPr>
        <w:pStyle w:val="Heading3"/>
      </w:pPr>
      <w:bookmarkStart w:id="6" w:name="_Toc6"/>
      <w:r>
        <w:t>2.4. Структура исходящих (по назначению платежа)</w:t>
      </w:r>
      <w:bookmarkEnd w:id="6"/>
    </w:p>
    <w:tbl>
      <w:tblGrid>
        <w:gridCol w:w="3000" w:type="dxa"/>
        <w:gridCol w:w="3000" w:type="dxa"/>
        <w:gridCol w:w="30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Корзина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Сумма, ₽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Доля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Перевозчики / логистика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9 832 600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54%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Лизинг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2 107 391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12%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Топливо (Онлайн Кардс и др.)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1 277 000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7%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Внутригрупповые / переводы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1 036 795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Банк (Сбербанк ПАО и пр.)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963 028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Налоги (ФНС / ЕНП)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935 016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Офис / ИТ / связь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578 354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3%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Подотчёт / физлица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388 585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Страхование / Платон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199 412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1%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Прочее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819 874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5%</w:t>
            </w:r>
          </w:p>
        </w:tc>
      </w:tr>
    </w:tbl>
    <w:p>
      <w:pPr/>
      <w:r>
        <w:rPr>
          <w:sz w:val="22"/>
          <w:szCs w:val="22"/>
        </w:rPr>
        <w:t xml:space="preserve">Перевозчики + лизинг + топливо ≈ 73% всех исходящих. Операционка и налоги — вторичны по объёму, но регулярны.</w:t>
      </w:r>
    </w:p>
    <w:p>
      <w:pPr>
        <w:pStyle w:val="Heading3"/>
      </w:pPr>
      <w:bookmarkStart w:id="7" w:name="_Toc7"/>
      <w:r>
        <w:t>2.5. Топ получателей и плательщиков</w:t>
      </w:r>
      <w:bookmarkEnd w:id="7"/>
    </w:p>
    <w:p>
      <w:pPr/>
      <w:r>
        <w:rPr>
          <w:b w:val="1"/>
          <w:bCs w:val="1"/>
        </w:rPr>
        <w:t xml:space="preserve">Кому платили больше всего:</w:t>
      </w:r>
    </w:p>
    <w:tbl>
      <w:tblGrid>
        <w:gridCol w:w="4500" w:type="dxa"/>
        <w:gridCol w:w="45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Контрагент</w:t>
            </w:r>
          </w:p>
        </w:tc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 исходящих, ₽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М-Моторс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2 160 000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РЕСО-Лизинг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1 358 240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Онлайн Кардс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1 091 000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Сбербанк ПАО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963 028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Союз-Логистик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895 000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Гросс ООО (внутригрупповой)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600 000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МИ ФНС России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593 388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Автопартнер Поволжья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580 000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РЕСО-Автолизинг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572 700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М.Т.Э.К.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570 000</w:t>
            </w:r>
          </w:p>
        </w:tc>
      </w:tr>
    </w:tbl>
    <w:p>
      <w:pPr/>
      <w:r>
        <w:rPr>
          <w:b w:val="1"/>
          <w:bCs w:val="1"/>
        </w:rPr>
        <w:t xml:space="preserve">От кого получали больше всего:</w:t>
      </w:r>
    </w:p>
    <w:tbl>
      <w:tblGrid>
        <w:gridCol w:w="4500" w:type="dxa"/>
        <w:gridCol w:w="45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Контрагент</w:t>
            </w:r>
          </w:p>
        </w:tc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 входящих, ₽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Фармсервис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2 913 000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Дайтона Моторс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1 234 461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Федерал Резерв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1 093 000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ЗТС ООО (+ООО «ЗТС»)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~1 095 000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Штерн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670 000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Агропроф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642 000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Оазис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635 000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Инжинирингпроект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630 000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Пегас ООО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580 000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Громова Т.В.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575 000</w:t>
            </w:r>
          </w:p>
        </w:tc>
      </w:tr>
    </w:tbl>
    <w:p>
      <w:pPr/>
      <w:r>
        <w:rPr>
          <w:i w:val="1"/>
          <w:iCs w:val="1"/>
        </w:rPr>
        <w:t xml:space="preserve">Вывод среза А: касса не копит запас — оборот почти замкнут. Июньский плюс съеден июлем–августом.</w:t>
      </w:r>
    </w:p>
    <w:p>
      <w:pPr>
        <w:pStyle w:val="Heading2"/>
      </w:pPr>
      <w:bookmarkStart w:id="8" w:name="_Toc8"/>
      <w:r>
        <w:t>3. Срез Б — банк + CRM (заказы, ДЗ, КЗ, «мимо» заявок)</w:t>
      </w:r>
      <w:bookmarkEnd w:id="8"/>
    </w:p>
    <w:p>
      <w:pPr/>
      <w:r>
        <w:rPr>
          <w:color w:val="555555"/>
          <w:sz w:val="22"/>
          <w:szCs w:val="22"/>
          <w:i w:val="1"/>
          <w:iCs w:val="1"/>
        </w:rPr>
        <w:t xml:space="preserve">Источник: те же выписки плюс графики оплат (payment_schedules) по заказам с 22.05.2026 и статусы разнесения УУ (allocation_order_id / pending).</w:t>
      </w:r>
    </w:p>
    <w:p>
      <w:pPr>
        <w:pStyle w:val="Heading3"/>
      </w:pPr>
      <w:bookmarkStart w:id="9" w:name="_Toc9"/>
      <w:r>
        <w:t>3.1. Свободные деньги vs обязательства</w:t>
      </w:r>
      <w:bookmarkEnd w:id="9"/>
    </w:p>
    <w:tbl>
      <w:tblGrid>
        <w:gridCol w:w="3000" w:type="dxa"/>
        <w:gridCol w:w="3000" w:type="dxa"/>
        <w:gridCol w:w="30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Показатель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Сумма, ₽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Комментарий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Нетто ДДС по выпискам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+704 707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Не остаток в банке, а накопленный приток−отток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Дебиторка клиентов (CRM)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676 230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 клиентов с остатком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в т.ч. внешняя ДЗ (оценка)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~326 000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Без внутреннего АА-Смоленск 350 тыс.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Кредиторка перевозчикам (CRM)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794 265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Уже больше внешней ДЗ</w:t>
            </w:r>
          </w:p>
        </w:tc>
      </w:tr>
    </w:tbl>
    <w:p>
      <w:pPr>
        <w:pStyle w:val="Heading3"/>
      </w:pPr>
      <w:bookmarkStart w:id="10" w:name="_Toc10"/>
      <w:r>
        <w:t>3.2. Дебиторка (кому должны нам)</w:t>
      </w:r>
      <w:bookmarkEnd w:id="10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Заказ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Клиент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Долг, ₽</w:t>
            </w:r>
          </w:p>
        </w:tc>
        <w:tc>
          <w:tcPr>
            <w:tcW w:w="225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Примечание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АС-НМ-837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Автоальянс-Смоленск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350 000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Внутренний контур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АС-СЭ-960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Артистрой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170 000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Аванс/остаток по связанным заказам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АС-ПВ-371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Титан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139 200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Частичная оплата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АС-АГ-09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Гидротехинжиниринг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17 000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Просрочка с 06.07</w:t>
            </w:r>
          </w:p>
        </w:tc>
      </w:tr>
      <w:tr>
        <w:trPr/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АС-ГР-963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Оазис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30</w:t>
            </w:r>
          </w:p>
        </w:tc>
        <w:tc>
          <w:tcPr>
            <w:tcW w:w="225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Хвост</w:t>
            </w:r>
          </w:p>
        </w:tc>
      </w:tr>
    </w:tbl>
    <w:p>
      <w:pPr/>
      <w:r>
        <w:rPr>
          <w:i w:val="1"/>
          <w:iCs w:val="1"/>
        </w:rPr>
        <w:t xml:space="preserve">Вывод: клиенты нам почти не «замораживают» кассу. Искать пропавшие миллионы в дебиторке бессмысленно.</w:t>
      </w:r>
    </w:p>
    <w:p>
      <w:pPr>
        <w:pStyle w:val="Heading3"/>
      </w:pPr>
      <w:bookmarkStart w:id="11" w:name="_Toc11"/>
      <w:r>
        <w:t>3.3. Кредиторка перевозчикам (кому должны мы)</w:t>
      </w:r>
      <w:bookmarkEnd w:id="11"/>
    </w:p>
    <w:tbl>
      <w:tblGrid>
        <w:gridCol w:w="4500" w:type="dxa"/>
        <w:gridCol w:w="45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Перевозчик</w:t>
            </w:r>
          </w:p>
        </w:tc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Долг, ₽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Сульда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250 000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Негабр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182 000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Фортуна Транс-Экспедитор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125 015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АГЛ-Транс НН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100 000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Автоспецстрой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60 000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Прочие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~77 250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Итого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794 265</w:t>
            </w:r>
          </w:p>
        </w:tc>
      </w:tr>
    </w:tbl>
    <w:p>
      <w:pPr>
        <w:pStyle w:val="Heading3"/>
      </w:pPr>
      <w:bookmarkStart w:id="12" w:name="_Toc12"/>
      <w:r>
        <w:t>3.4. Неразнесённые движения (учёт отстаёт от банка)</w:t>
      </w:r>
      <w:bookmarkEnd w:id="12"/>
    </w:p>
    <w:tbl>
      <w:tblGrid>
        <w:gridCol w:w="3000" w:type="dxa"/>
        <w:gridCol w:w="3000" w:type="dxa"/>
        <w:gridCol w:w="30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Тип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Сумма, ₽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Смысл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Входящие pending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~3,72 млн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Деньги на счёте есть, в CRM как оплата заявки — часто ещё нет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Исходящие pending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~4,54 млн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Деньги уже ушли; долг/заказ в CRM может не совпадать с фактом</w:t>
            </w:r>
          </w:p>
        </w:tc>
      </w:tr>
    </w:tbl>
    <w:p>
      <w:pPr>
        <w:pStyle w:val="Heading3"/>
      </w:pPr>
      <w:bookmarkStart w:id="13" w:name="_Toc13"/>
      <w:r>
        <w:t>3.5. Расходы без заказа в CRM («нецелевые» / аномалии учёта)</w:t>
      </w:r>
      <w:bookmarkEnd w:id="13"/>
    </w:p>
    <w:p>
      <w:pPr/>
      <w:r>
        <w:rPr>
          <w:b w:val="1"/>
          <w:bCs w:val="1"/>
        </w:rPr>
        <w:t xml:space="preserve">А. Собственный парк — не ошибка, но жрёт кассу (~3,46 млн):</w:t>
      </w:r>
    </w:p>
    <w:tbl>
      <w:tblGrid>
        <w:gridCol w:w="4500" w:type="dxa"/>
        <w:gridCol w:w="45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Статья</w:t>
            </w:r>
          </w:p>
        </w:tc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Сумма, ₽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Лизинг (РЕСО / СберЛизинг)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2 107 391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ГСМ (Онлайн Кардс и др.)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~1 120 000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ПЛАТОН / страхование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~230 000</w:t>
            </w:r>
          </w:p>
        </w:tc>
      </w:tr>
    </w:tbl>
    <w:p>
      <w:pPr/>
      <w:r>
        <w:rPr>
          <w:b w:val="1"/>
          <w:bCs w:val="1"/>
        </w:rPr>
        <w:t xml:space="preserve">Б. Транспорт без заявки в CRM (главная аномалия учёта):</w:t>
      </w:r>
    </w:p>
    <w:tbl>
      <w:tblGrid>
        <w:gridCol w:w="3000" w:type="dxa"/>
        <w:gridCol w:w="3000" w:type="dxa"/>
        <w:gridCol w:w="30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Контрагент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 / оценка</w:t>
            </w:r>
          </w:p>
        </w:tc>
        <w:tc>
          <w:tcPr>
            <w:tcW w:w="30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Комментарий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М.Т.Э.К.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570 000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Разнесено без order_id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М-Моторс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250 000+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Часть разнесена + крупный объём в pending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ИП Недзельская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250 000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Транспорт без заказа в CRM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ИП Парфенова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220 000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Транспорт / смешанные платежи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Империя / Пионер / Прайм / Автопартнер и др.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~2,5+ млн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В основном pending — деньги уже ушли</w:t>
            </w:r>
          </w:p>
        </w:tc>
      </w:tr>
    </w:tbl>
    <w:p>
      <w:pPr/>
      <w:r>
        <w:rPr>
          <w:b w:val="1"/>
          <w:bCs w:val="1"/>
        </w:rPr>
        <w:t xml:space="preserve">В. Операционка / люди (обязательные, но не маржа заявок):</w:t>
      </w:r>
    </w:p>
    <w:tbl>
      <w:tblGrid>
        <w:gridCol w:w="4500" w:type="dxa"/>
        <w:gridCol w:w="4500" w:type="dxa"/>
      </w:tblGrid>
      <w:tblPr>
        <w:tblW w:w="9000" w:type="dxa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Тип</w:t>
            </w:r>
          </w:p>
        </w:tc>
        <w:tc>
          <w:tcPr>
            <w:tcW w:w="4500" w:type="dxa"/>
            <w:shd w:val="clear" w:fill="E8EEF5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Сумма, ₽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Налоги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~593 000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ФОТ (по разнесённым категориям, оценка)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~680 000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Офис / аренда / DNS / Ростелеком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~420 000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АТИ / лицензии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~230 000</w:t>
            </w:r>
          </w:p>
        </w:tc>
      </w:tr>
      <w:tr>
        <w:trPr/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Подотчёт Аветисян (СБП)</w:t>
            </w:r>
          </w:p>
        </w:tc>
        <w:tc>
          <w:tcPr>
            <w:tcW w:w="4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  <w:b w:val="0"/>
                <w:bCs w:val="0"/>
              </w:rPr>
              <w:t xml:space="preserve">~244 000</w:t>
            </w:r>
          </w:p>
        </w:tc>
      </w:tr>
    </w:tbl>
    <w:p>
      <w:pPr/>
      <w:r>
        <w:rPr>
          <w:i w:val="1"/>
          <w:iCs w:val="1"/>
        </w:rPr>
        <w:t xml:space="preserve">Вывод среза Б: «дыры» не в дебиторке, а в (1) фиксированных затратах парка, (2) оплатах перевозчикам без/с опозданием привязки к заявкам, (3) отставании разнесения УУ.</w:t>
      </w:r>
    </w:p>
    <w:p>
      <w:pPr>
        <w:pStyle w:val="Heading2"/>
      </w:pPr>
      <w:bookmarkStart w:id="14" w:name="_Toc14"/>
      <w:r>
        <w:t>4. Сводный диагноз: что происходит с деньгами</w:t>
      </w:r>
      <w:bookmarkEnd w:id="14"/>
    </w:p>
    <w:p>
      <w:pPr>
        <w:numPr>
          <w:ilvl w:val="0"/>
          <w:numId w:val="4"/>
        </w:numPr>
      </w:pPr>
      <w:r>
        <w:rPr/>
        <w:t xml:space="preserve">Оба среза согласованы: чистый банковский плюс ~0,7 млн при обороте ~19 млн — это и есть реальный ответ на вопрос «сколько свободных».</w:t>
      </w:r>
    </w:p>
    <w:p>
      <w:pPr>
        <w:numPr>
          <w:ilvl w:val="0"/>
          <w:numId w:val="4"/>
        </w:numPr>
      </w:pPr>
      <w:r>
        <w:rPr/>
        <w:t xml:space="preserve">Ощущение «должно быть больше» возникает из сравнения с маржой/оборотом заявок. Маржа экспедиции на бумаге не равна кассе: парк (лизинг+ГСМ ~3,5 млн) и темп выплат подрядчикам забирают её раньше, чем она становится запасом.</w:t>
      </w:r>
    </w:p>
    <w:p>
      <w:pPr>
        <w:numPr>
          <w:ilvl w:val="0"/>
          <w:numId w:val="4"/>
        </w:numPr>
      </w:pPr>
      <w:r>
        <w:rPr/>
        <w:t xml:space="preserve">Июнь создал иллюзию комфорта (+1,4 млн). Июль и август кассу «проели». Сентябрь пока восстанавливается, но запас тонкий.</w:t>
      </w:r>
    </w:p>
    <w:p>
      <w:pPr>
        <w:numPr>
          <w:ilvl w:val="0"/>
          <w:numId w:val="4"/>
        </w:numPr>
      </w:pPr>
      <w:r>
        <w:rPr/>
        <w:t xml:space="preserve">Дебиторка — слабый кандидат в виновники. Кредиторка перевозчикам и неразнесённые исходящие — более сильные.</w:t>
      </w:r>
    </w:p>
    <w:p>
      <w:pPr>
        <w:numPr>
          <w:ilvl w:val="0"/>
          <w:numId w:val="4"/>
        </w:numPr>
      </w:pPr>
      <w:r>
        <w:rPr/>
        <w:t xml:space="preserve">Часть крупных выплат (М-Моторс, М.Т.Э.К., Империя и др.) в CRM либо без заказа, либо в pending: управленческая картина «по заявкам» выглядит лучше, чем фактический банк.</w:t>
      </w:r>
    </w:p>
    <w:p>
      <w:pPr>
        <w:pStyle w:val="Heading3"/>
      </w:pPr>
      <w:bookmarkStart w:id="15" w:name="_Toc15"/>
      <w:r>
        <w:t>4.1. Упрощённая схема</w:t>
      </w:r>
      <w:bookmarkEnd w:id="15"/>
    </w:p>
    <w:p>
      <w:pPr/>
      <w:r>
        <w:rPr/>
        <w:t xml:space="preserve">Приходы клиентов (~18,8 млн по банку)</w:t>
      </w:r>
    </w:p>
    <w:p>
      <w:pPr/>
      <w:r>
        <w:rPr/>
        <w:t xml:space="preserve">  → перевозчикам / логистике (~54%)</w:t>
      </w:r>
    </w:p>
    <w:p>
      <w:pPr/>
      <w:r>
        <w:rPr/>
        <w:t xml:space="preserve">  → лизинг + топливо + страхование парка (~20%)</w:t>
      </w:r>
    </w:p>
    <w:p>
      <w:pPr/>
      <w:r>
        <w:rPr/>
        <w:t xml:space="preserve">  → налоги, банк, офис, люди, переводы (~26%)</w:t>
      </w:r>
    </w:p>
    <w:p>
      <w:pPr/>
      <w:r>
        <w:rPr>
          <w:b w:val="1"/>
          <w:bCs w:val="1"/>
        </w:rPr>
        <w:t xml:space="preserve">Остаток на накопление: ~0,7 млн за 4 месяца.</w:t>
      </w:r>
    </w:p>
    <w:p>
      <w:pPr>
        <w:pStyle w:val="Heading2"/>
      </w:pPr>
      <w:bookmarkStart w:id="16" w:name="_Toc16"/>
      <w:r>
        <w:t>5. Практические шаги</w:t>
      </w:r>
      <w:bookmarkEnd w:id="16"/>
    </w:p>
    <w:p>
      <w:pPr>
        <w:numPr>
          <w:ilvl w:val="0"/>
          <w:numId w:val="4"/>
        </w:numPr>
      </w:pPr>
      <w:r>
        <w:rPr/>
        <w:t xml:space="preserve">1. Доразнести ~4,5 млн исходящих и ~3,7 млн входящих pending: либо привязать к заявке, либо явно пометить парк/АУР/внутригрупп — иначе CFO-картина всегда будет «грязной».</w:t>
      </w:r>
    </w:p>
    <w:p>
      <w:pPr>
        <w:numPr>
          <w:ilvl w:val="0"/>
          <w:numId w:val="4"/>
        </w:numPr>
      </w:pPr>
      <w:r>
        <w:rPr/>
        <w:t xml:space="preserve">2. Реестр контрагентов блока «транспорт без CRM»: М.Т.Э.К., М-Моторс, Недзельская, Парфенова, Империя, Пионер, Прайм, Автопартнер — по каждому: найти заказ / завести / списать с пояснением.</w:t>
      </w:r>
    </w:p>
    <w:p>
      <w:pPr>
        <w:numPr>
          <w:ilvl w:val="0"/>
          <w:numId w:val="4"/>
        </w:numPr>
      </w:pPr>
      <w:r>
        <w:rPr/>
        <w:t xml:space="preserve">3. Отдельный помесячный отчёт «экспедиция» vs «собственный парк». Без этого свободные деньги всегда будут казаться меньше маржи заявок.</w:t>
      </w:r>
    </w:p>
    <w:p>
      <w:pPr>
        <w:numPr>
          <w:ilvl w:val="0"/>
          <w:numId w:val="4"/>
        </w:numPr>
      </w:pPr>
      <w:r>
        <w:rPr/>
        <w:t xml:space="preserve">4. Контроль кассового разрыва: не наращивать выплаты перевозчикам в месяцы, когда входящий поток слабее (как в июле–августе), либо заранее резервировать парковые платежи.</w:t>
      </w:r>
    </w:p>
    <w:p>
      <w:pPr>
        <w:numPr>
          <w:ilvl w:val="0"/>
          <w:numId w:val="4"/>
        </w:numPr>
      </w:pPr>
      <w:r>
        <w:rPr/>
        <w:t xml:space="preserve">5. Внешнюю дебиторку (~326 тыс.) закрывать точечно (Артистрой, Титан, Гидротех) — это быстро, но не решит кассовый голод целиком.</w:t>
      </w:r>
    </w:p>
    <w:p>
      <w:pPr>
        <w:pStyle w:val="Heading2"/>
      </w:pPr>
      <w:bookmarkStart w:id="17" w:name="_Toc17"/>
      <w:r>
        <w:t>6. Методика и ограничения</w:t>
      </w:r>
      <w:bookmarkEnd w:id="17"/>
    </w:p>
    <w:p>
      <w:pPr>
        <w:numPr>
          <w:ilvl w:val="0"/>
          <w:numId w:val="4"/>
        </w:numPr>
      </w:pPr>
      <w:r>
        <w:rPr/>
        <w:t xml:space="preserve">Период выбран с даты начала ведения заказов в текущей базе CRM (22.05.2026) по последнюю дату выписки в УУ (16.09.2026).</w:t>
      </w:r>
    </w:p>
    <w:p>
      <w:pPr>
        <w:numPr>
          <w:ilvl w:val="0"/>
          <w:numId w:val="4"/>
        </w:numPr>
      </w:pPr>
      <w:r>
        <w:rPr/>
        <w:t xml:space="preserve">Нетто ДДС — сумма приходов минус расходов по строкам выписок; это не банковский остаток на дату (стартовый остаток на 22.05 в отчёте не зафиксирован).</w:t>
      </w:r>
    </w:p>
    <w:p>
      <w:pPr>
        <w:numPr>
          <w:ilvl w:val="0"/>
          <w:numId w:val="4"/>
        </w:numPr>
      </w:pPr>
      <w:r>
        <w:rPr/>
        <w:t xml:space="preserve">Структура исходящих — эвристика по тексту назначения платежа; отдельные платежи Сбербанк ПАО могут включать не только комиссии.</w:t>
      </w:r>
    </w:p>
    <w:p>
      <w:pPr>
        <w:numPr>
          <w:ilvl w:val="0"/>
          <w:numId w:val="4"/>
        </w:numPr>
      </w:pPr>
      <w:r>
        <w:rPr/>
        <w:t xml:space="preserve">ДЗ/КЗ — remaining_amount по payment_schedules заказов периода; неразнесённые банковские оплаты могут расходиться с графиками.</w:t>
      </w:r>
    </w:p>
    <w:p>
      <w:pPr>
        <w:numPr>
          <w:ilvl w:val="0"/>
          <w:numId w:val="4"/>
        </w:numPr>
      </w:pPr>
      <w:r>
        <w:rPr/>
        <w:t xml:space="preserve">Внутригрупповые обороты (Гросс, АА-Смоленск, переводы между счетами) завышают валовый оборот; на нетто влияют умеренно.</w:t>
      </w:r>
    </w:p>
    <w:p/>
    <w:p>
      <w:pPr/>
      <w:r>
        <w:rPr>
          <w:color w:val="666666"/>
          <w:sz w:val="20"/>
          <w:szCs w:val="20"/>
          <w:i w:val="1"/>
          <w:iCs w:val="1"/>
        </w:rPr>
        <w:t xml:space="preserve">Подготовлено автоматически по данным продакшен-БД CRM «Автоальянс» · 17.09.2026</w:t>
      </w:r>
    </w:p>
    <w:sectPr>
      <w:pgSz w:orient="portrait" w:w="11905.511811023622" w:h="16837.79527559055"/>
      <w:pgMar w:top="1133.8582677165352" w:right="1133.8582677165352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BE109858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00"/>
    </w:pPr>
    <w:rPr>
      <w:rFonts w:ascii="Times New Roman" w:hAnsi="Times New Roman" w:eastAsia="Times New Roman" w:cs="Times New Roman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rFonts w:ascii="Times New Roman" w:hAnsi="Times New Roman" w:eastAsia="Times New Roman" w:cs="Times New Roman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rFonts w:ascii="Times New Roman" w:hAnsi="Times New Roman" w:eastAsia="Times New Roman" w:cs="Times New Roman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2026-09-17T18:11:09+04:00</dcterms:created>
  <dcterms:modified xsi:type="dcterms:W3CDTF">2026-09-17T18:11:09+04:00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