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CoverTable"/>
        <w:tblW w:w="934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14"/>
        <w:gridCol w:w="4530"/>
      </w:tblGrid>
      <w:tr>
        <w:trPr>
          <w:trHeight w:val="4951" w:hRule="atLeast"/>
          <w:cantSplit w:val="true"/>
        </w:trPr>
        <w:tc>
          <w:tcPr>
            <w:tcW w:w="93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verNoIndent"/>
              <w:widowControl/>
              <w:spacing w:before="0" w:after="0"/>
              <w:jc w:val="center"/>
              <w:rPr>
                <w:kern w:val="0"/>
                <w:lang w:val="ru-RU"/>
              </w:rPr>
            </w:pPr>
            <w:r>
              <w:rPr>
                <w:kern w:val="0"/>
                <w:lang w:val="ru-RU"/>
              </w:rPr>
              <w:t>Российский университет транспорта (МИИТ)</w:t>
            </w:r>
          </w:p>
          <w:p>
            <w:pPr>
              <w:pStyle w:val="CoverNoIndent"/>
              <w:widowControl/>
              <w:spacing w:before="0" w:after="0"/>
              <w:jc w:val="center"/>
              <w:rPr>
                <w:kern w:val="0"/>
                <w:lang w:val="ru-RU"/>
              </w:rPr>
            </w:pPr>
            <w:r>
              <w:rPr>
                <w:kern w:val="0"/>
                <w:lang w:val="ru-RU"/>
              </w:rPr>
              <w:t>Институт транспортной техники и систем управления</w:t>
            </w:r>
          </w:p>
          <w:p>
            <w:pPr>
              <w:pStyle w:val="CoverNoIndent"/>
              <w:widowControl/>
              <w:spacing w:before="0" w:after="0"/>
              <w:jc w:val="center"/>
              <w:rPr>
                <w:kern w:val="0"/>
                <w:lang w:val="ru-RU"/>
              </w:rPr>
            </w:pPr>
            <w:r>
              <w:rPr>
                <w:kern w:val="0"/>
                <w:lang w:val="ru-RU"/>
              </w:rPr>
              <w:t>Кафедра «</w:t>
            </w:r>
            <w:r>
              <w:rPr>
                <w:kern w:val="0"/>
                <w:lang w:val="ru-RU"/>
              </w:rPr>
              <w:t>ИУиИБ</w:t>
            </w:r>
            <w:r>
              <w:rPr>
                <w:kern w:val="0"/>
                <w:lang w:val="ru-RU"/>
              </w:rPr>
              <w:t>»</w:t>
            </w:r>
          </w:p>
        </w:tc>
      </w:tr>
      <w:tr>
        <w:trPr>
          <w:trHeight w:val="4241" w:hRule="atLeast"/>
          <w:cantSplit w:val="true"/>
        </w:trPr>
        <w:tc>
          <w:tcPr>
            <w:tcW w:w="93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verNoIndent"/>
              <w:widowControl/>
              <w:spacing w:before="0" w:after="0"/>
              <w:jc w:val="center"/>
              <w:rPr>
                <w:kern w:val="0"/>
                <w:lang w:val="ru-RU"/>
              </w:rPr>
            </w:pPr>
            <w:r>
              <w:rPr>
                <w:kern w:val="0"/>
                <w:lang w:val="ru-RU"/>
              </w:rPr>
              <w:t>Отчёт</w:t>
            </w:r>
          </w:p>
          <w:p>
            <w:pPr>
              <w:pStyle w:val="CoverNoIndent"/>
              <w:widowControl/>
              <w:spacing w:before="0" w:after="0"/>
              <w:jc w:val="center"/>
              <w:rPr>
                <w:kern w:val="0"/>
                <w:lang w:val="ru-RU"/>
              </w:rPr>
            </w:pPr>
            <w:r>
              <w:rPr>
                <w:kern w:val="0"/>
                <w:lang w:val="ru-RU"/>
              </w:rPr>
              <w:t>по лабораторной работе № 00</w:t>
            </w:r>
          </w:p>
          <w:p>
            <w:pPr>
              <w:pStyle w:val="CoverNoIndent"/>
              <w:widowControl/>
              <w:spacing w:before="0" w:after="0"/>
              <w:jc w:val="center"/>
              <w:rPr>
                <w:kern w:val="0"/>
                <w:lang w:val="ru-RU"/>
              </w:rPr>
            </w:pPr>
            <w:r>
              <w:rPr>
                <w:kern w:val="0"/>
                <w:lang w:val="ru-RU"/>
              </w:rPr>
              <w:t>по теме «Сети Петри простых ситуаций»</w:t>
            </w:r>
          </w:p>
          <w:p>
            <w:pPr>
              <w:pStyle w:val="CoverNoIndent"/>
              <w:widowControl/>
              <w:spacing w:before="0" w:after="0"/>
              <w:jc w:val="center"/>
              <w:rPr>
                <w:kern w:val="0"/>
                <w:lang w:val="ru-RU"/>
              </w:rPr>
            </w:pPr>
            <w:r>
              <w:rPr>
                <w:kern w:val="0"/>
                <w:lang w:val="ru-RU"/>
              </w:rPr>
              <w:t>по дисциплине «Web-программирование»</w:t>
            </w:r>
          </w:p>
          <w:p>
            <w:pPr>
              <w:pStyle w:val="CoverNoIndent"/>
              <w:widowControl/>
              <w:spacing w:before="0" w:after="0"/>
              <w:jc w:val="center"/>
              <w:rPr>
                <w:kern w:val="0"/>
                <w:lang w:val="ru-RU"/>
              </w:rPr>
            </w:pPr>
            <w:r>
              <w:rPr>
                <w:kern w:val="0"/>
                <w:lang w:val="ru-RU"/>
              </w:rPr>
              <w:t>Вариант 7</w:t>
            </w:r>
          </w:p>
        </w:tc>
      </w:tr>
      <w:tr>
        <w:trPr>
          <w:trHeight w:val="3751" w:hRule="atLeast"/>
          <w:cantSplit w:val="true"/>
        </w:trPr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verNormal"/>
              <w:widowControl/>
              <w:spacing w:before="0" w:after="0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</w:r>
          </w:p>
        </w:tc>
        <w:tc>
          <w:tcPr>
            <w:tcW w:w="45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CoverNormal"/>
              <w:widowControl/>
              <w:spacing w:before="0" w:after="0"/>
              <w:ind w:hanging="0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  <w:t>Выполнил:</w:t>
            </w:r>
          </w:p>
          <w:p>
            <w:pPr>
              <w:pStyle w:val="CoverNormal"/>
              <w:widowControl/>
              <w:spacing w:before="0" w:after="0"/>
              <w:ind w:hanging="0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  <w:t>Студент группы ТКИ-541</w:t>
            </w:r>
          </w:p>
          <w:p>
            <w:pPr>
              <w:pStyle w:val="CoverNormal"/>
              <w:widowControl/>
              <w:spacing w:before="0" w:after="0"/>
              <w:jc w:val="right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  <w:t>Тумасян Тигран Аршакович</w:t>
            </w:r>
          </w:p>
          <w:p>
            <w:pPr>
              <w:pStyle w:val="CoverNormal"/>
              <w:widowControl/>
              <w:spacing w:before="0" w:after="0"/>
              <w:jc w:val="right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</w:r>
          </w:p>
          <w:p>
            <w:pPr>
              <w:pStyle w:val="CoverNormal"/>
              <w:widowControl/>
              <w:spacing w:before="0" w:after="0"/>
              <w:jc w:val="right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</w:r>
          </w:p>
          <w:p>
            <w:pPr>
              <w:pStyle w:val="CoverNormal"/>
              <w:widowControl/>
              <w:spacing w:before="0" w:after="0"/>
              <w:ind w:hanging="0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  <w:t>Проверил:</w:t>
            </w:r>
          </w:p>
          <w:p>
            <w:pPr>
              <w:pStyle w:val="CoverNormal"/>
              <w:widowControl/>
              <w:spacing w:before="0" w:after="0"/>
              <w:ind w:hanging="0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</w:r>
          </w:p>
          <w:p>
            <w:pPr>
              <w:pStyle w:val="CoverNormal"/>
              <w:widowControl/>
              <w:spacing w:before="0" w:after="0"/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kern w:val="0"/>
                <w:szCs w:val="28"/>
                <w:lang w:val="ru-RU"/>
              </w:rPr>
              <w:t>Сафронов Антон Игоревич</w:t>
            </w:r>
          </w:p>
          <w:p>
            <w:pPr>
              <w:pStyle w:val="CoverNormal"/>
              <w:widowControl/>
              <w:spacing w:before="0" w:after="0"/>
              <w:jc w:val="right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</w:r>
          </w:p>
        </w:tc>
      </w:tr>
      <w:tr>
        <w:trPr>
          <w:trHeight w:val="1344" w:hRule="atLeast"/>
          <w:cantSplit w:val="true"/>
        </w:trPr>
        <w:tc>
          <w:tcPr>
            <w:tcW w:w="934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CoverNormal"/>
              <w:widowControl/>
              <w:spacing w:before="0" w:after="0"/>
              <w:jc w:val="center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kern w:val="0"/>
                <w:szCs w:val="28"/>
                <w:lang w:val="ru-RU"/>
              </w:rPr>
              <w:t>Москва, 2026</w:t>
            </w:r>
          </w:p>
        </w:tc>
      </w:tr>
    </w:tbl>
    <w:p>
      <w:pPr>
        <w:sectPr>
          <w:type w:val="nextPage"/>
          <w:pgSz w:w="11906" w:h="16838"/>
          <w:pgMar w:left="1701" w:right="850" w:gutter="0" w:header="0" w:top="752" w:footer="0" w:bottom="1134"/>
          <w:pgNumType w:fmt="decimal"/>
          <w:formProt w:val="false"/>
          <w:textDirection w:val="lrTb"/>
          <w:docGrid w:type="default" w:linePitch="360" w:charSpace="4294959103"/>
        </w:sectPr>
      </w:pPr>
    </w:p>
    <w:p>
      <w:pPr>
        <w:pStyle w:val="Heading1"/>
        <w:rPr/>
      </w:pPr>
      <w:r>
        <w:rPr/>
        <w:t>1. Цель работы</w:t>
      </w:r>
    </w:p>
    <w:p>
      <w:pPr>
        <w:pStyle w:val="Normal"/>
        <w:rPr/>
      </w:pPr>
      <w:r>
        <w:rPr/>
        <w:t>Описать бытовой процесс снятия наличных через банкомат и представить его полной и краткой сетями Петри.</w:t>
      </w:r>
    </w:p>
    <w:p>
      <w:pPr>
        <w:pStyle w:val="Heading1"/>
        <w:rPr/>
      </w:pPr>
      <w:r>
        <w:rPr/>
        <w:t>2. Формулировка задачи</w:t>
      </w:r>
    </w:p>
    <w:p>
      <w:pPr>
        <w:pStyle w:val="Normal"/>
        <w:rPr/>
      </w:pPr>
      <w:r>
        <w:rPr/>
        <w:t>Вариант 7: «Снятие наличных денежных средств через банкомат в отделении банка». Начало процесса — обнаружение свободного банкомата, завершение — уход из отделения банка с полученными денежными средствами. Требуется подробное текстовое описание, полная и краткая сети Петри, описание краткой сети и вывод.</w:t>
      </w:r>
    </w:p>
    <w:p>
      <w:pPr>
        <w:pStyle w:val="Heading1"/>
        <w:rPr/>
      </w:pPr>
      <w:r>
        <w:rPr/>
        <w:t>3. Детализированное текстовое описание ситуации</w:t>
      </w:r>
    </w:p>
    <w:p>
      <w:pPr>
        <w:pStyle w:val="Normal"/>
        <w:rPr/>
      </w:pPr>
      <w:r>
        <w:rPr/>
        <w:t>Обнаружив свободный банкомат в отделении банка, я подхожу к нему и вставляю карту. Банкомат принимает карту и предлагает ввести PIN. Я прикрываю клавиатуру рукой, ввожу PIN и подтверждаю ввод. Банкомат проверяет введённый код.</w:t>
      </w:r>
    </w:p>
    <w:p>
      <w:pPr>
        <w:pStyle w:val="Normal"/>
        <w:rPr/>
      </w:pPr>
      <w:r>
        <w:rPr/>
        <w:t>Если PIN верен, открывается меню операций. Если я ошибся при первом вводе, банкомат сообщает об ошибке и разрешает повторный ввод. В рассматриваемом сценарии при повторной попытке я ввожу правильный PIN, после чего открывается меню. Повторная ошибка и удержание карты в эту модель не включены.</w:t>
      </w:r>
    </w:p>
    <w:p>
      <w:pPr>
        <w:pStyle w:val="Normal"/>
        <w:rPr/>
      </w:pPr>
      <w:r>
        <w:rPr/>
        <w:t>В меню я выбираю снятие наличных и указываю сумму. Банкомат проверяет возможность выдачи: доступный остаток средств, ограничения на снятие и наличие подходящих купюр. Если сумма недопустима, банкомат предлагает изменить её, и я ввожу другую сумму. Предполагается, что допустимую сумму удаётся подобрать.</w:t>
      </w:r>
    </w:p>
    <w:p>
      <w:pPr>
        <w:pStyle w:val="Normal"/>
        <w:rPr/>
      </w:pPr>
      <w:r>
        <w:rPr/>
        <w:t>После разрешения снятия я завершаю операцию. Я забираю карту; затем банкомат выдаёт наличные. Я забираю и пересчитываю деньги, убираю карту и наличные. После этого ухожу из отделения с полученными деньгами.</w:t>
      </w:r>
    </w:p>
    <w:p>
      <w:pPr>
        <w:pStyle w:val="Normal"/>
        <w:rPr/>
      </w:pPr>
      <w:r>
        <w:rPr/>
        <w:t>Допущения: банкомат исправен; карта пригодна для операции; при ошибке первого PIN следующая попытка успешна; допустимая сумма существует; карта возвращается раньше наличных. Отмена операции, удержание карты, технические сбои и завершение без денег находятся за границами модели.</w:t>
      </w:r>
    </w:p>
    <w:p>
      <w:pPr>
        <w:pStyle w:val="Heading1"/>
        <w:rPr/>
      </w:pPr>
      <w:r>
        <w:rPr/>
        <w:t>4. Сеть Петри — схема ситуации</w:t>
      </w:r>
    </w:p>
    <w:p>
      <w:pPr>
        <w:pStyle w:val="Normal"/>
        <w:rPr/>
      </w:pPr>
      <w:r>
        <w:rPr/>
        <w:t>Круги обозначают позиции (состояния), прямоугольники — переходы (действия или события). Дуги соединяют только позицию с переходом или переход с позицией. Чёрная точка обозначает маркер. В начальной маркировке единственный маркер находится в P0; все остальные позиции пусты. При срабатывании перехода маркер перемещается из его входной позиции в выходную.</w:t>
      </w:r>
    </w:p>
    <w:p>
      <w:pPr>
        <w:pStyle w:val="Normal"/>
        <w:rPr/>
      </w:pPr>
      <w:r>
        <w:rPr/>
        <w:t>Ветвления полной сети абстрактно представляют возможные результаты проверок. Сеть не вычисляет PIN и баланс: выбор исхода отражает результат внешней проверки. Параллельные действия в этом последовательном сценарии не выделяются.</w:t>
      </w:r>
    </w:p>
    <w:p>
      <w:pPr>
        <w:pStyle w:val="Heading2"/>
        <w:rPr/>
      </w:pPr>
      <w:r>
        <w:rPr/>
        <w:t>4.1. Полная сеть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715000" cy="7184390"/>
            <wp:effectExtent l="0" t="0" r="0" b="0"/>
            <wp:docPr id="1" name="Figure 1" descr="Полная сеть Пет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" descr="Полная сеть Петр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84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rPr/>
      </w:pPr>
      <w:r>
        <w:rPr/>
        <w:t>Рисунок 1 — Полная сеть Петри</w:t>
      </w:r>
    </w:p>
    <w:p>
      <w:pPr>
        <w:pStyle w:val="Normal"/>
        <w:rPr/>
      </w:pPr>
      <w:r>
        <w:rPr/>
        <w:t>Основной путь: P0 → T0 → P1 → T1 → P2 → T2 → P3 → T3 → P4 → T4 → P5 → T5 → P6 → T6 → P7 → T7 → P8 → T8 → P9 → T9 → P10 → T10 → P11.</w:t>
      </w:r>
    </w:p>
    <w:p>
      <w:pPr>
        <w:pStyle w:val="Normal"/>
        <w:rPr/>
      </w:pPr>
      <w:r>
        <w:rPr/>
        <w:t>После разрешения снятия (P6) переход T6 объединяет завершение операции и возврат карты банкоматом. В P7 карта доступна для получения; T7 — забрать карту, P8 — карта забрана. Затем T8 — выдача наличных, P9 — наличные выданы; T9 — забрать и пересчитать деньги, P10 — деньги забраны и пересчитаны. Переход T10 объединяет уборку карты и денег и выход из отделения.</w:t>
      </w:r>
    </w:p>
    <w:p>
      <w:pPr>
        <w:pStyle w:val="Normal"/>
        <w:rPr/>
      </w:pPr>
      <w:r>
        <w:rPr/>
        <w:t>Ветка ошибки PIN: P2 → T11 → P12 → T12 → P3. Первая ошибка приводит к отдельному состоянию повторного ввода; следующая попытка по допущению успешна. Это исключает бесконечный цикл неправильного PIN.</w:t>
      </w:r>
    </w:p>
    <w:p>
      <w:pPr>
        <w:pStyle w:val="Normal"/>
        <w:rPr/>
      </w:pPr>
      <w:r>
        <w:rPr/>
        <w:t>Ветка недопустимой суммы: P5 → T13 → P4. После изменения суммы проверка выполняется снова. Модель допускает повторение этой ветви; успешное завершение предполагает последующий выбор допустимой суммы.</w:t>
      </w:r>
    </w:p>
    <w:p>
      <w:pPr>
        <w:pStyle w:val="Normal"/>
        <w:rPr/>
      </w:pPr>
      <w:r>
        <w:rPr/>
        <w:t>Конечная маркировка успешного сценария: один маркер в P11. Из этой позиции исходящих дуг нет.</w:t>
      </w:r>
    </w:p>
    <w:p>
      <w:pPr>
        <w:pStyle w:val="Heading2"/>
        <w:rPr/>
      </w:pPr>
      <w:r>
        <w:rPr/>
        <w:t>4.2. Краткая сеть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715000" cy="5543550"/>
            <wp:effectExtent l="0" t="0" r="0" b="0"/>
            <wp:docPr id="2" name="Figure 2" descr="Краткая сеть Пет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" descr="Краткая сеть Петр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4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rPr/>
      </w:pPr>
      <w:r>
        <w:rPr/>
        <w:t>Рисунок 2 — Краткая сеть Петри</w:t>
      </w:r>
    </w:p>
    <w:p>
      <w:pPr>
        <w:pStyle w:val="Heading2"/>
        <w:rPr/>
      </w:pPr>
      <w:r>
        <w:rPr/>
        <w:t>4.3. Описание краткой сети Петри</w:t>
      </w:r>
    </w:p>
    <w:p>
      <w:pPr>
        <w:pStyle w:val="Normal"/>
        <w:rPr/>
      </w:pPr>
      <w:r>
        <w:rPr/>
        <w:t>В краткой сети обозначения P и T введены заново и относятся только к этой схеме. Подробные действия и повторные попытки объединены в укрупнённые переходы успешного сценария.</w:t>
      </w:r>
    </w:p>
    <w:p>
      <w:pPr>
        <w:pStyle w:val="Normal"/>
        <w:rPr/>
      </w:pPr>
      <w:r>
        <w:rPr/>
        <w:t>P0: обнаружен свободный банкомат. T0: подойти, вставить карту и успешно пройти проверку PIN. P1: клиент авторизован.</w:t>
      </w:r>
    </w:p>
    <w:p>
      <w:pPr>
        <w:pStyle w:val="Normal"/>
        <w:rPr/>
      </w:pPr>
      <w:r>
        <w:rPr/>
        <w:t>T1: выбрать снятие и указать допустимую сумму. P2: снятие согласовано.</w:t>
      </w:r>
    </w:p>
    <w:p>
      <w:pPr>
        <w:pStyle w:val="Normal"/>
        <w:rPr/>
      </w:pPr>
      <w:r>
        <w:rPr/>
        <w:t>T2: завершить операцию, забрать карту, затем наличные. P3: карта и деньги получены.</w:t>
      </w:r>
    </w:p>
    <w:p>
      <w:pPr>
        <w:pStyle w:val="Normal"/>
        <w:rPr/>
      </w:pPr>
      <w:r>
        <w:rPr/>
        <w:t>T3: пересчитать и убрать деньги, убрать карту и покинуть отделение. P4: клиент вышел с деньгами. Единственный маркер последовательно проходит от P0 к P4.</w:t>
      </w:r>
    </w:p>
    <w:p>
      <w:pPr>
        <w:pStyle w:val="Heading1"/>
        <w:rPr/>
      </w:pPr>
      <w:r>
        <w:rPr/>
        <w:t>5. Вывод</w:t>
      </w:r>
    </w:p>
    <w:p>
      <w:pPr>
        <w:pStyle w:val="Normal"/>
        <w:spacing w:before="0" w:after="120"/>
        <w:rPr/>
      </w:pPr>
      <w:r>
        <w:rPr/>
        <w:t>Процесс снятия наличных описан словами и двумя сетями Петри. Полная сеть показывает проверку PIN, повторный ввод, проверку суммы и получение карты и денег. Краткая сеть объединяет действия в основные этапы. Обе схемы соответствуют выбранным границам процесса: от обнаружения свободного банкомата до ухода с наличными.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417" w:right="850" w:gutter="0" w:header="0" w:top="1134" w:footer="567" w:bottom="1134"/>
      <w:pgNumType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81" w:before="0" w:after="120"/>
      <w:jc w:val="both"/>
    </w:pPr>
    <w:rPr>
      <w:rFonts w:ascii="Liberation Serif" w:hAnsi="Liberation Serif" w:eastAsia="DejaVu Sans" w:cs="DejaVu Sans"/>
      <w:color w:val="auto"/>
      <w:kern w:val="0"/>
      <w:sz w:val="28"/>
      <w:szCs w:val="20"/>
      <w:lang w:val="ru-RU" w:eastAsia="zh-CN" w:bidi="hi-IN"/>
    </w:rPr>
  </w:style>
  <w:style w:type="paragraph" w:styleId="Heading1">
    <w:name w:val="heading 1"/>
    <w:basedOn w:val="Normal"/>
    <w:qFormat/>
    <w:pPr>
      <w:keepNext w:val="true"/>
      <w:keepLines/>
      <w:spacing w:before="240" w:after="160"/>
      <w:jc w:val="left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 w:val="true"/>
      <w:keepLines/>
      <w:spacing w:before="200" w:after="140"/>
      <w:jc w:val="left"/>
      <w:outlineLvl w:val="1"/>
    </w:pPr>
    <w:rPr>
      <w:b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jc w:val="center"/>
    </w:pPr>
    <w:rPr>
      <w:i/>
      <w:sz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qFormat/>
    <w:pPr>
      <w:spacing w:before="1800" w:after="600"/>
      <w:jc w:val="center"/>
    </w:pPr>
    <w:rPr>
      <w:b/>
      <w:sz w:val="36"/>
    </w:rPr>
  </w:style>
  <w:style w:type="paragraph" w:styleId="Titleinformation">
    <w:name w:val="Title information"/>
    <w:basedOn w:val="Normal"/>
    <w:qFormat/>
    <w:pPr>
      <w:spacing w:before="0" w:after="360"/>
      <w:jc w:val="center"/>
    </w:pPr>
    <w:rPr/>
  </w:style>
  <w:style w:type="paragraph" w:styleId="Code">
    <w:name w:val="Code"/>
    <w:basedOn w:val="Normal"/>
    <w:qFormat/>
    <w:pPr>
      <w:spacing w:lineRule="auto" w:line="221" w:before="0" w:after="0"/>
      <w:jc w:val="left"/>
    </w:pPr>
    <w:rPr>
      <w:rFonts w:ascii="Liberation Mono" w:hAnsi="Liberation Mono"/>
      <w:sz w:val="18"/>
    </w:rPr>
  </w:style>
  <w:style w:type="paragraph" w:styleId="CoverNormal">
    <w:name w:val="CoverNormal"/>
    <w:qFormat/>
    <w:rsid w:val="001675c9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DejaVu Sans" w:cs="DejaVu Sans"/>
      <w:color w:val="auto"/>
      <w:kern w:val="0"/>
      <w:sz w:val="28"/>
      <w:szCs w:val="20"/>
      <w:lang w:val="ru-RU" w:eastAsia="zh-CN" w:bidi="hi-IN"/>
    </w:rPr>
  </w:style>
  <w:style w:type="paragraph" w:styleId="CoverNoIndent" w:customStyle="1">
    <w:name w:val="CoverNoIndent"/>
    <w:basedOn w:val="CoverNormal"/>
    <w:qFormat/>
    <w:rsid w:val="00a4591a"/>
    <w:pPr>
      <w:ind w:hanging="0"/>
    </w:pPr>
    <w:rPr>
      <w:rFonts w:cs="Times New Roman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table" w:styleId="CoverTableBase">
    <w:name w:val="CoverTableBas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CoverTable">
    <w:name w:val="CoverTable"/>
    <w:basedOn w:val="CoverTableBase"/>
    <w:uiPriority w:val="59"/>
    <w:rsid w:val="00775ba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6</Pages>
  <Words>695</Words>
  <Characters>4089</Characters>
  <CharactersWithSpaces>4751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2026-10-02T19:47:36Z</dcterms:modified>
  <cp:revision>1</cp:revision>
  <dc:subject/>
  <dc:title/>
</cp:coreProperties>
</file>