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Ghi chú nghiên cứu: Sản phẩm tham khảo cho Financial Data Platform</w:t>
      </w:r>
    </w:p>
    <w:p>
      <w:pPr>
        <w:spacing w:after="300"/>
      </w:pPr>
      <w:r>
        <w:rPr>
          <w:i/>
          <w:iCs/>
          <w:sz w:val="22"/>
          <w:szCs w:val="22"/>
        </w:rPr>
        <w:t xml:space="preserve">Đồ án 2 — Nền tảng dữ liệu tài chính (Financial Data Platform)</w:t>
      </w:r>
    </w:p>
    <w:p>
      <w:pPr>
        <w:pStyle w:val="Heading1"/>
        <w:spacing w:after="150" w:before="300"/>
      </w:pPr>
      <w:r>
        <w:t xml:space="preserve">1. Nasdaq Data Fabric</w:t>
      </w:r>
    </w:p>
    <w:p>
      <w:pPr>
        <w:spacing w:after="120"/>
      </w:pPr>
      <w:r>
        <w:rPr>
          <w:b/>
          <w:bCs/>
        </w:rPr>
        <w:t xml:space="preserve">Đối tượng dùng: </w:t>
      </w:r>
      <w:r>
        <w:t xml:space="preserve">Các công ty quản lý tài sản, quỹ đầu cơ (hedge fund), fintech — tổ chức cần hạ tầng dữ liệu tài chính nhưng không muốn tự xây từ đầu.</w:t>
      </w:r>
    </w:p>
    <w:p>
      <w:pPr>
        <w:spacing w:after="120"/>
      </w:pPr>
      <w:r>
        <w:rPr>
          <w:b/>
          <w:bCs/>
        </w:rPr>
        <w:t xml:space="preserve">Lưu trữ &amp; cung cấp gì: </w:t>
      </w:r>
      <w:r>
        <w:t xml:space="preserve">Đây là dịch vụ managed data (được quản lý trọn gói), xây trên nền Nasdaq Data Link. Nasdaq lo toàn bộ vòng đời dữ liệu: ingest (nạp dữ liệu), xử lý, kiểm tra chất lượng, và host dữ liệu an toàn trên hạ tầng cloud của họ. Khách hàng tích hợp cả dữ liệu nội bộ (internal) lẫn dữ liệu bên ngoài (300+ dataset từ Nasdaq và đối tác) qua một API duy nhất. Có central data catalog, entitlement control (phân quyền chi tiết), audit/report cho doanh nghiệp lớn.</w:t>
      </w:r>
    </w:p>
    <w:p>
      <w:pPr>
        <w:spacing w:after="120"/>
      </w:pPr>
      <w:r>
        <w:rPr>
          <w:b/>
          <w:bCs/>
        </w:rPr>
        <w:t xml:space="preserve">Điểm học được: </w:t>
      </w:r>
      <w:r>
        <w:t xml:space="preserve">Đây không phải sản phẩm data-as-a-service đơn thuần mà là mô hình "managed pipeline" — họ bán luôn cả quy trình ingest + governance, không chỉ dữ liệu thô. Với đồ án của bạn (scope nhỏ hơn nhiều), điểm đáng lấy là ý tưởng data catalog tập trung và entitlement/access control — có thể mô phỏng ở mức đơn giản (ví dụ: metadata catalog cho các nguồn dữ liệu, phân quyền theo role).</w:t>
      </w:r>
    </w:p>
    <w:p>
      <w:pPr>
        <w:pStyle w:val="Heading1"/>
        <w:spacing w:after="150" w:before="300"/>
      </w:pPr>
      <w:r>
        <w:t xml:space="preserve">2. Polygon.io (đổi tên thương hiệu thành "Massive" đầu 2026, API vẫn giữ api.polygon.io)</w:t>
      </w:r>
    </w:p>
    <w:p>
      <w:pPr>
        <w:spacing w:after="120"/>
      </w:pPr>
      <w:r>
        <w:rPr>
          <w:b/>
          <w:bCs/>
        </w:rPr>
        <w:t xml:space="preserve">Đối tượng dùng: </w:t>
      </w:r>
      <w:r>
        <w:t xml:space="preserve">Developer, nhà giao dịch định lượng, fintech cần dữ liệu thị trường real-time/historical để build ứng dụng.</w:t>
      </w:r>
    </w:p>
    <w:p>
      <w:pPr>
        <w:spacing w:after="120"/>
      </w:pPr>
      <w:r>
        <w:rPr>
          <w:b/>
          <w:bCs/>
        </w:rPr>
        <w:t xml:space="preserve">Lưu trữ &amp; cung cấp gì: </w:t>
      </w:r>
      <w:r>
        <w:t xml:space="preserve">Cung cấp dữ liệu real-time và lịch sử cho cổ phiếu Mỹ, options, index, forex, crypto, futures — qua REST API + WebSocket streaming, cộng thêm gói "flat files" lưu trên S3 cho dữ liệu khối lượng lớn.</w:t>
      </w:r>
    </w:p>
    <w:p>
      <w:pPr>
        <w:pStyle w:val="Heading2"/>
        <w:spacing w:after="100" w:before="240"/>
      </w:pPr>
      <w:r>
        <w:t xml:space="preserve">Cấu trúc endpoint (đáng chú ý nhất cho đồ án của bạn)</w:t>
      </w:r>
    </w:p>
    <w:p>
      <w:pPr>
        <w:pStyle w:val="ListParagraph"/>
        <w:numPr>
          <w:ilvl w:val="0"/>
          <w:numId w:val="2"/>
        </w:numPr>
        <w:spacing w:after="60"/>
      </w:pPr>
      <w:r>
        <w:t xml:space="preserve">Base URL duy nhất: https://api.polygon.io</w:t>
      </w:r>
    </w:p>
    <w:p>
      <w:pPr>
        <w:pStyle w:val="ListParagraph"/>
        <w:numPr>
          <w:ilvl w:val="0"/>
          <w:numId w:val="2"/>
        </w:numPr>
        <w:spacing w:after="60"/>
      </w:pPr>
      <w:r>
        <w:t xml:space="preserve">Endpoint có versioning trong path, ví dụ v3/reference/tickers</w:t>
      </w:r>
    </w:p>
    <w:p>
      <w:pPr>
        <w:pStyle w:val="ListParagraph"/>
        <w:numPr>
          <w:ilvl w:val="0"/>
          <w:numId w:val="2"/>
        </w:numPr>
        <w:spacing w:after="60"/>
      </w:pPr>
      <w:r>
        <w:t xml:space="preserve">Phân nhóm rõ theo tài nguyên: reference data (tickers, ticker details), market data (aggregates/OHLC bars, previous close, grouped daily), snapshots (single/all/unified), trades &amp; quotes (tick-level, last trade)</w:t>
      </w:r>
    </w:p>
    <w:p>
      <w:pPr>
        <w:pStyle w:val="ListParagraph"/>
        <w:numPr>
          <w:ilvl w:val="0"/>
          <w:numId w:val="2"/>
        </w:numPr>
        <w:spacing w:after="60"/>
      </w:pPr>
      <w:r>
        <w:t xml:space="preserve">Có cả REST (pull) lẫn WebSocket (push, theo cluster riêng cho từng loại tài sản)</w:t>
      </w:r>
    </w:p>
    <w:p>
      <w:pPr>
        <w:pStyle w:val="ListParagraph"/>
        <w:numPr>
          <w:ilvl w:val="0"/>
          <w:numId w:val="2"/>
        </w:numPr>
        <w:spacing w:after="60"/>
      </w:pPr>
      <w:r>
        <w:t xml:space="preserve">Xác thực đơn giản bằng API key</w:t>
      </w:r>
    </w:p>
    <w:p>
      <w:pPr>
        <w:spacing w:after="120"/>
      </w:pPr>
      <w:r>
        <w:rPr>
          <w:b/>
          <w:bCs/>
        </w:rPr>
        <w:t xml:space="preserve">Điểm học được: </w:t>
      </w:r>
      <w:r>
        <w:t xml:space="preserve">Đây là ví dụ chuẩn về REST API thiết kế tốt cho dữ liệu tài chính — bạn có thể bắt chước cấu trúc: /v1/{resource}/{action} với các nhóm resource rõ ràng (reference / aggregates / snapshots / trades), tách biệt REST (dữ liệu theo yêu cầu) và WebSocket (dữ liệu real-time đẩy về).</w:t>
      </w:r>
    </w:p>
    <w:p>
      <w:pPr>
        <w:pStyle w:val="Heading1"/>
        <w:spacing w:after="150" w:before="300"/>
      </w:pPr>
      <w:r>
        <w:t xml:space="preserve">3. Economatica</w:t>
      </w:r>
    </w:p>
    <w:p>
      <w:pPr>
        <w:spacing w:after="120"/>
      </w:pPr>
      <w:r>
        <w:rPr>
          <w:b/>
          <w:bCs/>
        </w:rPr>
        <w:t xml:space="preserve">Đối tượng dùng: </w:t>
      </w:r>
      <w:r>
        <w:t xml:space="preserve">Analyst, portfolio manager, bộ phận IR (Investor Relations), tư vấn tài chính — chủ yếu ở Brazil/Mỹ Latinh/Mỹ.</w:t>
      </w:r>
    </w:p>
    <w:p>
      <w:pPr>
        <w:spacing w:after="120"/>
      </w:pPr>
      <w:r>
        <w:rPr>
          <w:b/>
          <w:bCs/>
        </w:rPr>
        <w:t xml:space="preserve">Lưu trữ &amp; cung cấp gì: </w:t>
      </w:r>
      <w:r>
        <w:t xml:space="preserve">Nền tảng phân tích tài chính với 40 năm dữ liệu lịch sử (báo cáo tài chính, giá cổ phiếu, chỉ số) cho hơn 5.700 công ty. Dữ liệu chuẩn hóa từ nguồn chính thống (Exchange Commissions, Sở giao dịch).</w:t>
      </w:r>
    </w:p>
    <w:p>
      <w:pPr>
        <w:pStyle w:val="Heading2"/>
        <w:spacing w:after="100" w:before="240"/>
      </w:pPr>
      <w:r>
        <w:t xml:space="preserve">Tính năng Screener &amp; so sánh (trọng tâm bạn cần)</w:t>
      </w:r>
    </w:p>
    <w:p>
      <w:pPr>
        <w:pStyle w:val="ListParagraph"/>
        <w:numPr>
          <w:ilvl w:val="0"/>
          <w:numId w:val="2"/>
        </w:numPr>
        <w:spacing w:after="60"/>
      </w:pPr>
      <w:r>
        <w:rPr>
          <w:b/>
          <w:bCs/>
        </w:rPr>
        <w:t xml:space="preserve">Screening: </w:t>
      </w:r>
      <w:r>
        <w:t xml:space="preserve">lọc tài sản bằng bộ filter kết hợp — chỉ số cơ bản (fundamental), kỹ thuật (technical), thị trường (market indicators)</w:t>
      </w:r>
    </w:p>
    <w:p>
      <w:pPr>
        <w:pStyle w:val="ListParagraph"/>
        <w:numPr>
          <w:ilvl w:val="0"/>
          <w:numId w:val="2"/>
        </w:numPr>
        <w:spacing w:after="60"/>
      </w:pPr>
      <w:r>
        <w:rPr>
          <w:b/>
          <w:bCs/>
        </w:rPr>
        <w:t xml:space="preserve">Comparative matrix: </w:t>
      </w:r>
      <w:r>
        <w:t xml:space="preserve">ma trận so sánh nhiều công ty/quỹ/portfolio cạnh nhau, với chuỗi lịch sử được căn chỉnh (aligned) và thống kê mô tả tự động</w:t>
      </w:r>
    </w:p>
    <w:p>
      <w:pPr>
        <w:pStyle w:val="ListParagraph"/>
        <w:numPr>
          <w:ilvl w:val="0"/>
          <w:numId w:val="2"/>
        </w:numPr>
        <w:spacing w:after="60"/>
      </w:pPr>
      <w:r>
        <w:t xml:space="preserve">Có thêm: pair analysis/cointegration (phân tích cặp tài sản tương quan), DCF model dựng sẵn, portfolio optimization (Markowitz)</w:t>
      </w:r>
    </w:p>
    <w:p>
      <w:pPr>
        <w:spacing w:after="120"/>
      </w:pPr>
      <w:r>
        <w:rPr>
          <w:b/>
          <w:bCs/>
        </w:rPr>
        <w:t xml:space="preserve">Điểm học được: </w:t>
      </w:r>
      <w:r>
        <w:t xml:space="preserve">"Screener" thực chất là một bộ filter kết hợp nhiều loại chỉ số cùng lúc, còn "comparison" là ghép nhiều time-series lại theo cùng trục thời gian rồi tính thống kê tự động (mean, std, correlation...). Đây là 2 tính năng lõi rất khả thi để làm cho đồ án 2 ở mức cơ bản: (1) query lọc theo điều kiện trên bảng dữ liệu tài chính, (2) API trả về nhiều series đã align theo ngày để vẽ so sánh.</w:t>
      </w:r>
    </w:p>
    <w:p>
      <w:pPr>
        <w:pStyle w:val="Heading1"/>
        <w:spacing w:after="150" w:before="300"/>
      </w:pPr>
      <w:r>
        <w:t xml:space="preserve">4. AlphaSense</w:t>
      </w:r>
    </w:p>
    <w:p>
      <w:pPr>
        <w:spacing w:after="120"/>
      </w:pPr>
      <w:r>
        <w:rPr>
          <w:b/>
          <w:bCs/>
        </w:rPr>
        <w:t xml:space="preserve">Đối tượng dùng: </w:t>
      </w:r>
      <w:r>
        <w:t xml:space="preserve">Nhà đầu tư, nhà nghiên cứu thị trường, tư vấn — cần tìm thông tin định tính trong núi tài liệu, không phải dữ liệu số/giá.</w:t>
      </w:r>
    </w:p>
    <w:p>
      <w:pPr>
        <w:spacing w:after="120"/>
      </w:pPr>
      <w:r>
        <w:rPr>
          <w:b/>
          <w:bCs/>
        </w:rPr>
        <w:t xml:space="preserve">Bản chất khác biệt: </w:t>
      </w:r>
      <w:r>
        <w:t xml:space="preserve">Đây không phải nền tảng lưu trữ dữ liệu giá/tài chính dạng bảng như 3 sản phẩm trên, mà là công cụ tìm kiếm &amp; tổng hợp bằng AI trên văn bản phi cấu trúc (earnings call transcript, SEC filings, tin tức, báo cáo research, phỏng vấn chuyên gia) — hơn 500 triệu tài liệu.</w:t>
      </w:r>
    </w:p>
    <w:p>
      <w:pPr>
        <w:pStyle w:val="Heading2"/>
        <w:spacing w:after="100" w:before="240"/>
      </w:pPr>
      <w:r>
        <w:t xml:space="preserve">Tính năng chính</w:t>
      </w:r>
    </w:p>
    <w:p>
      <w:pPr>
        <w:pStyle w:val="ListParagraph"/>
        <w:numPr>
          <w:ilvl w:val="0"/>
          <w:numId w:val="2"/>
        </w:numPr>
        <w:spacing w:after="60"/>
      </w:pPr>
      <w:r>
        <w:t xml:space="preserve">AI-powered search với "Smart Synonyms" — hiểu ngữ cảnh/ngữ nghĩa, không chỉ khớp từ khóa</w:t>
      </w:r>
    </w:p>
    <w:p>
      <w:pPr>
        <w:pStyle w:val="ListParagraph"/>
        <w:numPr>
          <w:ilvl w:val="0"/>
          <w:numId w:val="2"/>
        </w:numPr>
        <w:spacing w:after="60"/>
      </w:pPr>
      <w:r>
        <w:t xml:space="preserve">Generative AI: tóm tắt tài liệu, sinh insight có trích dẫn nguồn (Generative Search, Deep Research)</w:t>
      </w:r>
    </w:p>
    <w:p>
      <w:pPr>
        <w:pStyle w:val="ListParagraph"/>
        <w:numPr>
          <w:ilvl w:val="0"/>
          <w:numId w:val="2"/>
        </w:numPr>
        <w:spacing w:after="60"/>
      </w:pPr>
      <w:r>
        <w:t xml:space="preserve">Federated search: tìm đồng thời trong kho dữ liệu công khai của AlphaSense và dữ liệu nội bộ riêng của khách hàng</w:t>
      </w:r>
    </w:p>
    <w:p>
      <w:pPr>
        <w:pStyle w:val="ListParagraph"/>
        <w:numPr>
          <w:ilvl w:val="0"/>
          <w:numId w:val="2"/>
        </w:numPr>
        <w:spacing w:after="60"/>
      </w:pPr>
      <w:r>
        <w:t xml:space="preserve">Monitoring/alert khi có tài liệu mới liên quan</w:t>
      </w:r>
    </w:p>
    <w:p>
      <w:pPr>
        <w:spacing w:after="120"/>
      </w:pPr>
      <w:r>
        <w:rPr>
          <w:b/>
          <w:bCs/>
        </w:rPr>
        <w:t xml:space="preserve">Điểm học được: </w:t>
      </w:r>
      <w:r>
        <w:t xml:space="preserve">Nhắc bạn rằng nếu muốn platform của mình có thêm chiều "AI/tìm kiếm ngữ nghĩa" trên tin tức/báo cáo (ngoài dữ liệu giá dạng bảng), đây là mô hình tham khảo — nhưng nó là một lớp bài toán khác hẳn (NLP/semantic search) so với 3 sản phẩm kia (lưu trữ + query dữ liệu có cấu trúc). Với quy mô đồ án 2, có thể note lại như "hướng mở rộng tương lai" hơn là phải làm ngay.</w:t>
      </w:r>
    </w:p>
    <w:p>
      <w:pPr>
        <w:pStyle w:val="Heading1"/>
        <w:spacing w:after="150" w:before="300"/>
      </w:pPr>
      <w:r>
        <w:t xml:space="preserve">Bảng tổng hợp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1300"/>
        <w:gridCol w:w="1200"/>
        <w:gridCol w:w="2280"/>
      </w:tblGrid>
      <w:tr>
        <w:trPr>
          <w:tblHeader/>
        </w:trPr>
        <w:tc>
          <w:tcPr>
            <w:tcW w:type="dxa" w:w="1600"/>
            <w:shd w:fill="D9E2F3" w:val="clear"/>
            <w:tcMar>
              <w:top w:type="dxa" w:w="80"/>
              <w:left w:type="dxa" w:w="100"/>
              <w:bottom w:type="dxa" w:w="80"/>
              <w:right w:type="dxa" w:w="100"/>
            </w:tcMar>
          </w:tcPr>
          <w:p>
            <w:r>
              <w:rPr>
                <w:b/>
                <w:bCs/>
                <w:sz w:val="20"/>
                <w:szCs w:val="20"/>
              </w:rPr>
              <w:t xml:space="preserve">Sản phẩm</w:t>
            </w:r>
          </w:p>
        </w:tc>
        <w:tc>
          <w:tcPr>
            <w:tcW w:type="dxa" w:w="1800"/>
            <w:shd w:fill="D9E2F3" w:val="clear"/>
            <w:tcMar>
              <w:top w:type="dxa" w:w="80"/>
              <w:left w:type="dxa" w:w="100"/>
              <w:bottom w:type="dxa" w:w="80"/>
              <w:right w:type="dxa" w:w="100"/>
            </w:tcMar>
          </w:tcPr>
          <w:p>
            <w:r>
              <w:rPr>
                <w:b/>
                <w:bCs/>
                <w:sz w:val="20"/>
                <w:szCs w:val="20"/>
              </w:rPr>
              <w:t xml:space="preserve">Loại dữ liệu</w:t>
            </w:r>
          </w:p>
        </w:tc>
        <w:tc>
          <w:tcPr>
            <w:tcW w:type="dxa" w:w="1900"/>
            <w:shd w:fill="D9E2F3" w:val="clear"/>
            <w:tcMar>
              <w:top w:type="dxa" w:w="80"/>
              <w:left w:type="dxa" w:w="100"/>
              <w:bottom w:type="dxa" w:w="80"/>
              <w:right w:type="dxa" w:w="100"/>
            </w:tcMar>
          </w:tcPr>
          <w:p>
            <w:r>
              <w:rPr>
                <w:b/>
                <w:bCs/>
                <w:sz w:val="20"/>
                <w:szCs w:val="20"/>
              </w:rPr>
              <w:t xml:space="preserve">Lưu trữ ra sao</w:t>
            </w:r>
          </w:p>
        </w:tc>
        <w:tc>
          <w:tcPr>
            <w:tcW w:type="dxa" w:w="1300"/>
            <w:shd w:fill="D9E2F3" w:val="clear"/>
            <w:tcMar>
              <w:top w:type="dxa" w:w="80"/>
              <w:left w:type="dxa" w:w="100"/>
              <w:bottom w:type="dxa" w:w="80"/>
              <w:right w:type="dxa" w:w="100"/>
            </w:tcMar>
          </w:tcPr>
          <w:p>
            <w:r>
              <w:rPr>
                <w:b/>
                <w:bCs/>
                <w:sz w:val="20"/>
                <w:szCs w:val="20"/>
              </w:rPr>
              <w:t xml:space="preserve">Analytics?</w:t>
            </w:r>
          </w:p>
        </w:tc>
        <w:tc>
          <w:tcPr>
            <w:tcW w:type="dxa" w:w="1200"/>
            <w:shd w:fill="D9E2F3" w:val="clear"/>
            <w:tcMar>
              <w:top w:type="dxa" w:w="80"/>
              <w:left w:type="dxa" w:w="100"/>
              <w:bottom w:type="dxa" w:w="80"/>
              <w:right w:type="dxa" w:w="100"/>
            </w:tcMar>
          </w:tcPr>
          <w:p>
            <w:r>
              <w:rPr>
                <w:b/>
                <w:bCs/>
                <w:sz w:val="20"/>
                <w:szCs w:val="20"/>
              </w:rPr>
              <w:t xml:space="preserve">API?</w:t>
            </w:r>
          </w:p>
        </w:tc>
        <w:tc>
          <w:tcPr>
            <w:tcW w:type="dxa" w:w="2280"/>
            <w:shd w:fill="D9E2F3" w:val="clear"/>
            <w:tcMar>
              <w:top w:type="dxa" w:w="80"/>
              <w:left w:type="dxa" w:w="100"/>
              <w:bottom w:type="dxa" w:w="80"/>
              <w:right w:type="dxa" w:w="100"/>
            </w:tcMar>
          </w:tcPr>
          <w:p>
            <w:r>
              <w:rPr>
                <w:b/>
                <w:bCs/>
                <w:sz w:val="20"/>
                <w:szCs w:val="20"/>
              </w:rPr>
              <w:t xml:space="preserve">Điểm học được</w:t>
            </w:r>
          </w:p>
        </w:tc>
      </w:tr>
      <w:tr>
        <w:tc>
          <w:tcPr>
            <w:tcW w:type="dxa" w:w="1600"/>
            <w:tcMar>
              <w:top w:type="dxa" w:w="80"/>
              <w:left w:type="dxa" w:w="100"/>
              <w:bottom w:type="dxa" w:w="80"/>
              <w:right w:type="dxa" w:w="100"/>
            </w:tcMar>
          </w:tcPr>
          <w:p>
            <w:r>
              <w:rPr>
                <w:b w:val="false"/>
                <w:bCs w:val="false"/>
                <w:sz w:val="20"/>
                <w:szCs w:val="20"/>
              </w:rPr>
              <w:t xml:space="preserve">Nasdaq Data Fabric</w:t>
            </w:r>
          </w:p>
        </w:tc>
        <w:tc>
          <w:tcPr>
            <w:tcW w:type="dxa" w:w="1800"/>
            <w:tcMar>
              <w:top w:type="dxa" w:w="80"/>
              <w:left w:type="dxa" w:w="100"/>
              <w:bottom w:type="dxa" w:w="80"/>
              <w:right w:type="dxa" w:w="100"/>
            </w:tcMar>
          </w:tcPr>
          <w:p>
            <w:r>
              <w:rPr>
                <w:b w:val="false"/>
                <w:bCs w:val="false"/>
                <w:sz w:val="20"/>
                <w:szCs w:val="20"/>
              </w:rPr>
              <w:t xml:space="preserve">Dữ liệu thị trường (equity, options, index, alternative data)</w:t>
            </w:r>
          </w:p>
        </w:tc>
        <w:tc>
          <w:tcPr>
            <w:tcW w:type="dxa" w:w="1900"/>
            <w:tcMar>
              <w:top w:type="dxa" w:w="80"/>
              <w:left w:type="dxa" w:w="100"/>
              <w:bottom w:type="dxa" w:w="80"/>
              <w:right w:type="dxa" w:w="100"/>
            </w:tcMar>
          </w:tcPr>
          <w:p>
            <w:r>
              <w:rPr>
                <w:b w:val="false"/>
                <w:bCs w:val="false"/>
                <w:sz w:val="20"/>
                <w:szCs w:val="20"/>
              </w:rPr>
              <w:t xml:space="preserve">Managed cloud hosting, có data catalog tập trung</w:t>
            </w:r>
          </w:p>
        </w:tc>
        <w:tc>
          <w:tcPr>
            <w:tcW w:type="dxa" w:w="1300"/>
            <w:tcMar>
              <w:top w:type="dxa" w:w="80"/>
              <w:left w:type="dxa" w:w="100"/>
              <w:bottom w:type="dxa" w:w="80"/>
              <w:right w:type="dxa" w:w="100"/>
            </w:tcMar>
          </w:tcPr>
          <w:p>
            <w:r>
              <w:rPr>
                <w:b w:val="false"/>
                <w:bCs w:val="false"/>
                <w:sz w:val="20"/>
                <w:szCs w:val="20"/>
              </w:rPr>
              <w:t xml:space="preserve">Có (governance, quality checks); không sâu về phân tích định lượng</w:t>
            </w:r>
          </w:p>
        </w:tc>
        <w:tc>
          <w:tcPr>
            <w:tcW w:type="dxa" w:w="1200"/>
            <w:tcMar>
              <w:top w:type="dxa" w:w="80"/>
              <w:left w:type="dxa" w:w="100"/>
              <w:bottom w:type="dxa" w:w="80"/>
              <w:right w:type="dxa" w:w="100"/>
            </w:tcMar>
          </w:tcPr>
          <w:p>
            <w:r>
              <w:rPr>
                <w:b w:val="false"/>
                <w:bCs w:val="false"/>
                <w:sz w:val="20"/>
                <w:szCs w:val="20"/>
              </w:rPr>
              <w:t xml:space="preserve">1 API duy nhất truy cập nhiều dataset</w:t>
            </w:r>
          </w:p>
        </w:tc>
        <w:tc>
          <w:tcPr>
            <w:tcW w:type="dxa" w:w="2280"/>
            <w:tcMar>
              <w:top w:type="dxa" w:w="80"/>
              <w:left w:type="dxa" w:w="100"/>
              <w:bottom w:type="dxa" w:w="80"/>
              <w:right w:type="dxa" w:w="100"/>
            </w:tcMar>
          </w:tcPr>
          <w:p>
            <w:r>
              <w:rPr>
                <w:b w:val="false"/>
                <w:bCs w:val="false"/>
                <w:sz w:val="20"/>
                <w:szCs w:val="20"/>
              </w:rPr>
              <w:t xml:space="preserve">Mô hình managed pipeline + catalog + entitlement control</w:t>
            </w:r>
          </w:p>
        </w:tc>
      </w:tr>
      <w:tr>
        <w:tc>
          <w:tcPr>
            <w:tcW w:type="dxa" w:w="1600"/>
            <w:tcMar>
              <w:top w:type="dxa" w:w="80"/>
              <w:left w:type="dxa" w:w="100"/>
              <w:bottom w:type="dxa" w:w="80"/>
              <w:right w:type="dxa" w:w="100"/>
            </w:tcMar>
          </w:tcPr>
          <w:p>
            <w:r>
              <w:rPr>
                <w:b w:val="false"/>
                <w:bCs w:val="false"/>
                <w:sz w:val="20"/>
                <w:szCs w:val="20"/>
              </w:rPr>
              <w:t xml:space="preserve">Polygon.io</w:t>
            </w:r>
          </w:p>
        </w:tc>
        <w:tc>
          <w:tcPr>
            <w:tcW w:type="dxa" w:w="1800"/>
            <w:tcMar>
              <w:top w:type="dxa" w:w="80"/>
              <w:left w:type="dxa" w:w="100"/>
              <w:bottom w:type="dxa" w:w="80"/>
              <w:right w:type="dxa" w:w="100"/>
            </w:tcMar>
          </w:tcPr>
          <w:p>
            <w:r>
              <w:rPr>
                <w:b w:val="false"/>
                <w:bCs w:val="false"/>
                <w:sz w:val="20"/>
                <w:szCs w:val="20"/>
              </w:rPr>
              <w:t xml:space="preserve">Giá real-time &amp; lịch sử: stock, options, forex, crypto, futures</w:t>
            </w:r>
          </w:p>
        </w:tc>
        <w:tc>
          <w:tcPr>
            <w:tcW w:type="dxa" w:w="1900"/>
            <w:tcMar>
              <w:top w:type="dxa" w:w="80"/>
              <w:left w:type="dxa" w:w="100"/>
              <w:bottom w:type="dxa" w:w="80"/>
              <w:right w:type="dxa" w:w="100"/>
            </w:tcMar>
          </w:tcPr>
          <w:p>
            <w:r>
              <w:rPr>
                <w:b w:val="false"/>
                <w:bCs w:val="false"/>
                <w:sz w:val="20"/>
                <w:szCs w:val="20"/>
              </w:rPr>
              <w:t xml:space="preserve">REST + WebSocket; flat files trên S3 cho dữ liệu lớn</w:t>
            </w:r>
          </w:p>
        </w:tc>
        <w:tc>
          <w:tcPr>
            <w:tcW w:type="dxa" w:w="1300"/>
            <w:tcMar>
              <w:top w:type="dxa" w:w="80"/>
              <w:left w:type="dxa" w:w="100"/>
              <w:bottom w:type="dxa" w:w="80"/>
              <w:right w:type="dxa" w:w="100"/>
            </w:tcMar>
          </w:tcPr>
          <w:p>
            <w:r>
              <w:rPr>
                <w:b w:val="false"/>
                <w:bCs w:val="false"/>
                <w:sz w:val="20"/>
                <w:szCs w:val="20"/>
              </w:rPr>
              <w:t xml:space="preserve">Không (chỉ cấp dữ liệu thô, OHLC bars)</w:t>
            </w:r>
          </w:p>
        </w:tc>
        <w:tc>
          <w:tcPr>
            <w:tcW w:type="dxa" w:w="1200"/>
            <w:tcMar>
              <w:top w:type="dxa" w:w="80"/>
              <w:left w:type="dxa" w:w="100"/>
              <w:bottom w:type="dxa" w:w="80"/>
              <w:right w:type="dxa" w:w="100"/>
            </w:tcMar>
          </w:tcPr>
          <w:p>
            <w:r>
              <w:rPr>
                <w:b w:val="false"/>
                <w:bCs w:val="false"/>
                <w:sz w:val="20"/>
                <w:szCs w:val="20"/>
              </w:rPr>
              <w:t xml:space="preserve">Có, REST versioned (v3/reference/...) rất rõ ràng theo resource</w:t>
            </w:r>
          </w:p>
        </w:tc>
        <w:tc>
          <w:tcPr>
            <w:tcW w:type="dxa" w:w="2280"/>
            <w:tcMar>
              <w:top w:type="dxa" w:w="80"/>
              <w:left w:type="dxa" w:w="100"/>
              <w:bottom w:type="dxa" w:w="80"/>
              <w:right w:type="dxa" w:w="100"/>
            </w:tcMar>
          </w:tcPr>
          <w:p>
            <w:r>
              <w:rPr>
                <w:b w:val="false"/>
                <w:bCs w:val="false"/>
                <w:sz w:val="20"/>
                <w:szCs w:val="20"/>
              </w:rPr>
              <w:t xml:space="preserve">Cấu trúc REST endpoint chuẩn để noi theo</w:t>
            </w:r>
          </w:p>
        </w:tc>
      </w:tr>
      <w:tr>
        <w:tc>
          <w:tcPr>
            <w:tcW w:type="dxa" w:w="1600"/>
            <w:tcMar>
              <w:top w:type="dxa" w:w="80"/>
              <w:left w:type="dxa" w:w="100"/>
              <w:bottom w:type="dxa" w:w="80"/>
              <w:right w:type="dxa" w:w="100"/>
            </w:tcMar>
          </w:tcPr>
          <w:p>
            <w:r>
              <w:rPr>
                <w:b w:val="false"/>
                <w:bCs w:val="false"/>
                <w:sz w:val="20"/>
                <w:szCs w:val="20"/>
              </w:rPr>
              <w:t xml:space="preserve">Economatica</w:t>
            </w:r>
          </w:p>
        </w:tc>
        <w:tc>
          <w:tcPr>
            <w:tcW w:type="dxa" w:w="1800"/>
            <w:tcMar>
              <w:top w:type="dxa" w:w="80"/>
              <w:left w:type="dxa" w:w="100"/>
              <w:bottom w:type="dxa" w:w="80"/>
              <w:right w:type="dxa" w:w="100"/>
            </w:tcMar>
          </w:tcPr>
          <w:p>
            <w:r>
              <w:rPr>
                <w:b w:val="false"/>
                <w:bCs w:val="false"/>
                <w:sz w:val="20"/>
                <w:szCs w:val="20"/>
              </w:rPr>
              <w:t xml:space="preserve">Báo cáo tài chính, giá cổ phiếu, chỉ số — 40 năm lịch sử</w:t>
            </w:r>
          </w:p>
        </w:tc>
        <w:tc>
          <w:tcPr>
            <w:tcW w:type="dxa" w:w="1900"/>
            <w:tcMar>
              <w:top w:type="dxa" w:w="80"/>
              <w:left w:type="dxa" w:w="100"/>
              <w:bottom w:type="dxa" w:w="80"/>
              <w:right w:type="dxa" w:w="100"/>
            </w:tcMar>
          </w:tcPr>
          <w:p>
            <w:r>
              <w:rPr>
                <w:b w:val="false"/>
                <w:bCs w:val="false"/>
                <w:sz w:val="20"/>
                <w:szCs w:val="20"/>
              </w:rPr>
              <w:t xml:space="preserve">Nền tảng phân tích, dữ liệu chuẩn hóa từ nguồn gốc</w:t>
            </w:r>
          </w:p>
        </w:tc>
        <w:tc>
          <w:tcPr>
            <w:tcW w:type="dxa" w:w="1300"/>
            <w:tcMar>
              <w:top w:type="dxa" w:w="80"/>
              <w:left w:type="dxa" w:w="100"/>
              <w:bottom w:type="dxa" w:w="80"/>
              <w:right w:type="dxa" w:w="100"/>
            </w:tcMar>
          </w:tcPr>
          <w:p>
            <w:r>
              <w:rPr>
                <w:b w:val="false"/>
                <w:bCs w:val="false"/>
                <w:sz w:val="20"/>
                <w:szCs w:val="20"/>
              </w:rPr>
              <w:t xml:space="preserve">Có, mạnh: screener (filter đa điều kiện), comparative matrix, DCF, Markowitz optimization</w:t>
            </w:r>
          </w:p>
        </w:tc>
        <w:tc>
          <w:tcPr>
            <w:tcW w:type="dxa" w:w="1200"/>
            <w:tcMar>
              <w:top w:type="dxa" w:w="80"/>
              <w:left w:type="dxa" w:w="100"/>
              <w:bottom w:type="dxa" w:w="80"/>
              <w:right w:type="dxa" w:w="100"/>
            </w:tcMar>
          </w:tcPr>
          <w:p>
            <w:r>
              <w:rPr>
                <w:b w:val="false"/>
                <w:bCs w:val="false"/>
                <w:sz w:val="20"/>
                <w:szCs w:val="20"/>
              </w:rPr>
              <w:t xml:space="preserve">Có (Data Feed/Excel Add-in), không phải API mở kiểu dev</w:t>
            </w:r>
          </w:p>
        </w:tc>
        <w:tc>
          <w:tcPr>
            <w:tcW w:type="dxa" w:w="2280"/>
            <w:tcMar>
              <w:top w:type="dxa" w:w="80"/>
              <w:left w:type="dxa" w:w="100"/>
              <w:bottom w:type="dxa" w:w="80"/>
              <w:right w:type="dxa" w:w="100"/>
            </w:tcMar>
          </w:tcPr>
          <w:p>
            <w:r>
              <w:rPr>
                <w:b w:val="false"/>
                <w:bCs w:val="false"/>
                <w:sz w:val="20"/>
                <w:szCs w:val="20"/>
              </w:rPr>
              <w:t xml:space="preserve">Cách thiết kế screener + comparison matrix (align time-series + auto stats)</w:t>
            </w:r>
          </w:p>
        </w:tc>
      </w:tr>
      <w:tr>
        <w:tc>
          <w:tcPr>
            <w:tcW w:type="dxa" w:w="1600"/>
            <w:tcMar>
              <w:top w:type="dxa" w:w="80"/>
              <w:left w:type="dxa" w:w="100"/>
              <w:bottom w:type="dxa" w:w="80"/>
              <w:right w:type="dxa" w:w="100"/>
            </w:tcMar>
          </w:tcPr>
          <w:p>
            <w:r>
              <w:rPr>
                <w:b w:val="false"/>
                <w:bCs w:val="false"/>
                <w:sz w:val="20"/>
                <w:szCs w:val="20"/>
              </w:rPr>
              <w:t xml:space="preserve">AlphaSense</w:t>
            </w:r>
          </w:p>
        </w:tc>
        <w:tc>
          <w:tcPr>
            <w:tcW w:type="dxa" w:w="1800"/>
            <w:tcMar>
              <w:top w:type="dxa" w:w="80"/>
              <w:left w:type="dxa" w:w="100"/>
              <w:bottom w:type="dxa" w:w="80"/>
              <w:right w:type="dxa" w:w="100"/>
            </w:tcMar>
          </w:tcPr>
          <w:p>
            <w:r>
              <w:rPr>
                <w:b w:val="false"/>
                <w:bCs w:val="false"/>
                <w:sz w:val="20"/>
                <w:szCs w:val="20"/>
              </w:rPr>
              <w:t xml:space="preserve">Tài liệu phi cấu trúc: filings, transcript, tin tức, research</w:t>
            </w:r>
          </w:p>
        </w:tc>
        <w:tc>
          <w:tcPr>
            <w:tcW w:type="dxa" w:w="1900"/>
            <w:tcMar>
              <w:top w:type="dxa" w:w="80"/>
              <w:left w:type="dxa" w:w="100"/>
              <w:bottom w:type="dxa" w:w="80"/>
              <w:right w:type="dxa" w:w="100"/>
            </w:tcMar>
          </w:tcPr>
          <w:p>
            <w:r>
              <w:rPr>
                <w:b w:val="false"/>
                <w:bCs w:val="false"/>
                <w:sz w:val="20"/>
                <w:szCs w:val="20"/>
              </w:rPr>
              <w:t xml:space="preserve">Kho tài liệu 500M+, index bằng AI/NLP</w:t>
            </w:r>
          </w:p>
        </w:tc>
        <w:tc>
          <w:tcPr>
            <w:tcW w:type="dxa" w:w="1300"/>
            <w:tcMar>
              <w:top w:type="dxa" w:w="80"/>
              <w:left w:type="dxa" w:w="100"/>
              <w:bottom w:type="dxa" w:w="80"/>
              <w:right w:type="dxa" w:w="100"/>
            </w:tcMar>
          </w:tcPr>
          <w:p>
            <w:r>
              <w:rPr>
                <w:b w:val="false"/>
                <w:bCs w:val="false"/>
                <w:sz w:val="20"/>
                <w:szCs w:val="20"/>
              </w:rPr>
              <w:t xml:space="preserve">Có, nhưng là AI tổng hợp/tóm tắt văn bản, không phải phân tích số liệu</w:t>
            </w:r>
          </w:p>
        </w:tc>
        <w:tc>
          <w:tcPr>
            <w:tcW w:type="dxa" w:w="1200"/>
            <w:tcMar>
              <w:top w:type="dxa" w:w="80"/>
              <w:left w:type="dxa" w:w="100"/>
              <w:bottom w:type="dxa" w:w="80"/>
              <w:right w:type="dxa" w:w="100"/>
            </w:tcMar>
          </w:tcPr>
          <w:p>
            <w:r>
              <w:rPr>
                <w:b w:val="false"/>
                <w:bCs w:val="false"/>
                <w:sz w:val="20"/>
                <w:szCs w:val="20"/>
              </w:rPr>
              <w:t xml:space="preserve">Có (chủ yếu qua nền tảng, không phải REST API công khai để tự tích hợp như Polygon)</w:t>
            </w:r>
          </w:p>
        </w:tc>
        <w:tc>
          <w:tcPr>
            <w:tcW w:type="dxa" w:w="2280"/>
            <w:tcMar>
              <w:top w:type="dxa" w:w="80"/>
              <w:left w:type="dxa" w:w="100"/>
              <w:bottom w:type="dxa" w:w="80"/>
              <w:right w:type="dxa" w:w="100"/>
            </w:tcMar>
          </w:tcPr>
          <w:p>
            <w:r>
              <w:rPr>
                <w:b w:val="false"/>
                <w:bCs w:val="false"/>
                <w:sz w:val="20"/>
                <w:szCs w:val="20"/>
              </w:rPr>
              <w:t xml:space="preserve">Khác nhóm bài toán — semantic search, có thể là hướng mở rộng sau này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2026-09-27T15:21:18.698Z</dcterms:created>
  <dcterms:modified xsi:type="dcterms:W3CDTF">2026-09-27T15:21:18.707Z</dcterms:modified>
</cp:coreProperties>
</file>

<file path=docProps/custom.xml><?xml version="1.0" encoding="utf-8"?>
<Properties xmlns="http://schemas.openxmlformats.org/officeDocument/2006/custom-properties" xmlns:vt="http://schemas.openxmlformats.org/officeDocument/2006/docPropsVTypes"/>
</file>