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社交网络数据分析与处理结课报告：融合社交信息的推荐系统前沿进展与技术演进综述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摘要</w:t>
      </w:r>
      <w:r w:rsidDel="00000000" w:rsidR="00000000" w:rsidRPr="00000000">
        <w:rPr>
          <w:rFonts w:ascii="Google Sans" w:cs="Google Sans" w:eastAsia="Google Sans" w:hAnsi="Google Sans"/>
          <w:color w:val="1f1f1f"/>
          <w:rtl w:val="0"/>
        </w:rPr>
        <w:t xml:space="preserve">：在信息过载的数字化时代，推荐系统已成为在线服务分发的核心引擎。然而，传统基于协同过滤的推荐算法在面对极端数据稀疏性和冷启动用户时存在难以克服的性能瓶颈。随着在线社交网络（Online Social Networks）的蓬勃发展，社会学中的“同质性”（Homophily）与“社会影响力”（Social Influence）理论为突破这一瓶颈提供了新的契机。融合社交信息的推荐系统（Social Recommender Systems, SocialRS）通过联合挖掘用户-物品交互数据与用户-用户社交关系数据，显著提升了偏好预测的准确性与鲁棒性。本报告系统性地梳理并综述了社交推荐系统从早期浅层模型向现代认知大模型演进的四大技术阶段：首先，详细推导了基于概率矩阵分解（PMF）的经典社交推荐模型（如SoRec、SocialMF），探讨其如何通过联合分解及信任传播机制将社交先验知识注入隐特征空间；其次，重点剖析了基于图神经网络（GNN）的高阶社交推荐范式（如GraphRec、DiffNet），解析了其在多层异构图上捕获动态社会影响力及高阶协同信号的聚合机制；随后，报告深入探讨了对比学习（Contrastive Learning）与InfoNCE损失函数在社交推荐自监督去偏中的最新应用，揭示了其在解决“均匀-容忍困境”及跨视图特征对齐方面的数学机理；最后，全面前瞻了大语言模型（LLMs）赋能社交推荐的前沿趋势，分析了基于自然语言的图增强策略及协同参数注入机制。本综述旨在为社交网络数据分析与推荐系统领域的后续研究提供具有深度的理论参考与架构洞察。</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关键词</w:t>
      </w:r>
      <w:r w:rsidDel="00000000" w:rsidR="00000000" w:rsidRPr="00000000">
        <w:rPr>
          <w:rFonts w:ascii="Google Sans" w:cs="Google Sans" w:eastAsia="Google Sans" w:hAnsi="Google Sans"/>
          <w:color w:val="1f1f1f"/>
          <w:rtl w:val="0"/>
        </w:rPr>
        <w:t xml:space="preserve">：推荐系统；社交网络；概率矩阵分解；图神经网络；对比学习；大语言模型；信任传播</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引言与研究背景</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信息与通信技术（ICT）的快速普及，互联网生成的数据量呈指数级增长。无论是电子商务平台（如Amazon、淘宝）、流媒体服务（如Netflix、YouTube）还是社交媒体（如Facebook、微博），海量的内容使得用户面临严重的“信息过载”（Information Overload）问题</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。推荐系统（Recommender Systems, RS）作为一种有效的信息过滤工具，通过分析用户的历史交互行为、挖掘潜在偏好，为用户提供个性化的内容或商品建议</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在众多推荐技术中，协同过滤（Collaborative Filtering, CF）因其无需显式的物品特征、仅依赖用户历史反馈即可实现推荐而取得了巨大的商业成功</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然而，协同过滤算法高度依赖于用户-物品评分矩阵的密集程度。在真实世界的应用场景中，评分矩阵往往是极其稀疏的（稀疏度通常高达99%以上）。同时，当新用户刚刚加入系统，缺乏足够的历史交互记录时，系统无法为其寻找相似的邻居节点，这便是臭名昭著的“冷启动”（Cold Start）问题</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为了解决上述问题，研究人员开始将目光转向用户的辅助信息（Auxiliary Information）。随着在线社交网络平台的崛起，用户之间的连接、信任与关注关系成为了一种极其宝贵的数据源</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。社会学研究表明，个体的行为和决策往往不是孤立的，而是深深嵌入其所在的社会网络之中的。具体而言，社交推荐系统的有效性建立在两大社会学假设之上</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社会同质性（Social Homophily）</w:t>
      </w:r>
      <w:r w:rsidDel="00000000" w:rsidR="00000000" w:rsidRPr="00000000">
        <w:rPr>
          <w:rFonts w:ascii="Google Sans" w:cs="Google Sans" w:eastAsia="Google Sans" w:hAnsi="Google Sans"/>
          <w:color w:val="1f1f1f"/>
          <w:rtl w:val="0"/>
        </w:rPr>
        <w:t xml:space="preserve">：即“物以类聚，人以群分”。具有相似属性、品味和偏好的用户更倾向于在社交网络中建立连接</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社会影响力（Social Influence）</w:t>
      </w:r>
      <w:r w:rsidDel="00000000" w:rsidR="00000000" w:rsidRPr="00000000">
        <w:rPr>
          <w:rFonts w:ascii="Google Sans" w:cs="Google Sans" w:eastAsia="Google Sans" w:hAnsi="Google Sans"/>
          <w:color w:val="1f1f1f"/>
          <w:rtl w:val="0"/>
        </w:rPr>
        <w:t xml:space="preserve">：用户的决策在很大程度上会受到其信任的朋友或意见领袖的左右。当面临选择困难时，人们往往更愿意采纳其社交圈内的推荐，而非陌生人的意见</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基于这两种效应，将社交网络拓扑结构与传统的评分矩阵相融合，发展出了社交推荐系统。纵观其发展历程，社交推荐经历了由浅入深、由结构到语义的多次范式跃迁</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。为了更清晰地展示这一技术演进的脉络，本报告将技术发展划分为四个主要阶段，并对其核心数学原理、算法架构及优劣势进行详尽的对比与剖析。</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技术发展阶段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核心驱动技术</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代表性算法模型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解决的主要痛点与核心优势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存在的局限性</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浅层线性期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矩阵分解 (Matrix Factorization)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SoRec, SocialMF, TrustSVD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将稀疏矩阵映射到低维空间；引入社会正则化和信任传播，初步缓解冷启动。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仅能捕获线性关系；依赖一阶邻居，难以挖掘高阶网络拓扑。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深层图学习期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图神经网络 (Graph Neural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GraphRec, DiffNet, PinSAGE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通过消息传递捕获 </w:t>
            </w:r>
            <w:r w:rsidDel="00000000" w:rsidR="00000000" w:rsidRPr="00000000">
              <w:rPr>
                <w:rFonts w:ascii="Google Sans" w:cs="Google Sans" w:eastAsia="Google Sans" w:hAnsi="Google Sans"/>
                <w:color w:val="1f1f1f"/>
              </w:rPr>
              <w:drawing>
                <wp:inline distB="19050" distT="19050" distL="19050" distR="19050">
                  <wp:extent cx="180380" cy="251243"/>
                  <wp:effectExtent b="0" l="0" r="0" t="0"/>
                  <wp:docPr id="57"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80380" cy="25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阶协同信号；自注意力机制解决关系异质性。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易受图数据噪声干扰；深层网络容易导致过度平滑 (Over-smoothing)。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自监督学习期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对比学习 (Contrastive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DcRec, MultiCSR, CGL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利用InfoNCE进行域解耦与跨视图对齐；克服长尾分布，无需额外标签。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假阴性样本 (False Negatives) 导致的梯度偏差；温度超参数极度敏感。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认知大模型期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大语言模型 (Large Language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LLMRec, LLM-SocRec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突破ID范式，引入常识推理与深层文本语义；实现基于语言的图增强。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大模型推理成本高昂；图拓扑信息向文本序列转化时容易产生上下文截断损失。</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基于概率矩阵分解的社交推荐范式</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在深度学习广泛应用于推荐系统之前，基于矩阵分解（Matrix Factorization, MF）的潜语义模型主导了社交推荐领域</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。矩阵分解的核心思想是将庞大的用户-物品评分矩阵分解为两个低维矩阵，从而揭示用户与物品之间的潜在关联（Latent Features）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。在此基础上的概率扩展，为社交信息的无缝融入提供了优雅的数学框架。</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概率矩阵分解（PMF）的理论推导</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概率矩阵分解（Probabilistic Matrix Factorization, PMF）是理解后续复杂社交推荐模型的基础</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。给定包含 </w:t>
      </w:r>
      <w:r w:rsidDel="00000000" w:rsidR="00000000" w:rsidRPr="00000000">
        <w:rPr>
          <w:rFonts w:ascii="Google Sans" w:cs="Google Sans" w:eastAsia="Google Sans" w:hAnsi="Google Sans"/>
          <w:color w:val="1f1f1f"/>
        </w:rPr>
        <w:drawing>
          <wp:inline distB="19050" distT="19050" distL="19050" distR="19050">
            <wp:extent cx="178693" cy="248894"/>
            <wp:effectExtent b="0" l="0" r="0" t="0"/>
            <wp:docPr id="59"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78693" cy="248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个用户和 </w:t>
      </w:r>
      <w:r w:rsidDel="00000000" w:rsidR="00000000" w:rsidRPr="00000000">
        <w:rPr>
          <w:rFonts w:ascii="Google Sans" w:cs="Google Sans" w:eastAsia="Google Sans" w:hAnsi="Google Sans"/>
          <w:color w:val="1f1f1f"/>
        </w:rPr>
        <w:drawing>
          <wp:inline distB="19050" distT="19050" distL="19050" distR="19050">
            <wp:extent cx="211435" cy="249878"/>
            <wp:effectExtent b="0" l="0" r="0" t="0"/>
            <wp:docPr id="58"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211435" cy="2498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个物品的评分矩阵 </w:t>
      </w:r>
      <w:r w:rsidDel="00000000" w:rsidR="00000000" w:rsidRPr="00000000">
        <w:rPr>
          <w:rFonts w:ascii="Google Sans" w:cs="Google Sans" w:eastAsia="Google Sans" w:hAnsi="Google Sans"/>
          <w:color w:val="1f1f1f"/>
        </w:rPr>
        <w:drawing>
          <wp:inline distB="19050" distT="19050" distL="19050" distR="19050">
            <wp:extent cx="920551" cy="247597"/>
            <wp:effectExtent b="0" l="0" r="0" t="0"/>
            <wp:docPr id="61"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920551" cy="2475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，PMF 的目标是求得用户特征矩阵 </w:t>
      </w:r>
      <w:r w:rsidDel="00000000" w:rsidR="00000000" w:rsidRPr="00000000">
        <w:rPr>
          <w:rFonts w:ascii="Google Sans" w:cs="Google Sans" w:eastAsia="Google Sans" w:hAnsi="Google Sans"/>
          <w:color w:val="1f1f1f"/>
        </w:rPr>
        <w:drawing>
          <wp:inline distB="19050" distT="19050" distL="19050" distR="19050">
            <wp:extent cx="894953" cy="247540"/>
            <wp:effectExtent b="0" l="0" r="0" t="0"/>
            <wp:docPr id="60"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894953" cy="247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和物品特征矩阵 </w:t>
      </w:r>
      <w:r w:rsidDel="00000000" w:rsidR="00000000" w:rsidRPr="00000000">
        <w:rPr>
          <w:rFonts w:ascii="Google Sans" w:cs="Google Sans" w:eastAsia="Google Sans" w:hAnsi="Google Sans"/>
          <w:color w:val="1f1f1f"/>
        </w:rPr>
        <w:drawing>
          <wp:inline distB="19050" distT="19050" distL="19050" distR="19050">
            <wp:extent cx="920452" cy="247570"/>
            <wp:effectExtent b="0" l="0" r="0" t="0"/>
            <wp:docPr id="65"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920452" cy="2475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167581" cy="242061"/>
            <wp:effectExtent b="0" l="0" r="0" t="0"/>
            <wp:docPr id="64"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167581" cy="2420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为潜特征维度），使得两者的内积能够尽可能准确地还原观测到的评分。</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PMF 采用了一种生成式概率模型。它假设观测到的真实评分 </w:t>
      </w:r>
      <w:r w:rsidDel="00000000" w:rsidR="00000000" w:rsidRPr="00000000">
        <w:rPr>
          <w:rFonts w:ascii="Google Sans" w:cs="Google Sans" w:eastAsia="Google Sans" w:hAnsi="Google Sans"/>
          <w:color w:val="1f1f1f"/>
        </w:rPr>
        <w:drawing>
          <wp:inline distB="19050" distT="19050" distL="19050" distR="19050">
            <wp:extent cx="308372" cy="250552"/>
            <wp:effectExtent b="0" l="0" r="0" t="0"/>
            <wp:docPr id="70"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308372"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在给定用户隐向量 </w:t>
      </w:r>
      <w:r w:rsidDel="00000000" w:rsidR="00000000" w:rsidRPr="00000000">
        <w:rPr>
          <w:rFonts w:ascii="Google Sans" w:cs="Google Sans" w:eastAsia="Google Sans" w:hAnsi="Google Sans"/>
          <w:color w:val="1f1f1f"/>
        </w:rPr>
        <w:drawing>
          <wp:inline distB="19050" distT="19050" distL="19050" distR="19050">
            <wp:extent cx="190897" cy="248166"/>
            <wp:effectExtent b="0" l="0" r="0" t="0"/>
            <wp:docPr id="6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90897" cy="248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和物品隐向量 </w:t>
      </w:r>
      <w:r w:rsidDel="00000000" w:rsidR="00000000" w:rsidRPr="00000000">
        <w:rPr>
          <w:rFonts w:ascii="Google Sans" w:cs="Google Sans" w:eastAsia="Google Sans" w:hAnsi="Google Sans"/>
          <w:color w:val="1f1f1f"/>
        </w:rPr>
        <w:drawing>
          <wp:inline distB="19050" distT="19050" distL="19050" distR="19050">
            <wp:extent cx="188416" cy="244941"/>
            <wp:effectExtent b="0" l="0" r="0" t="0"/>
            <wp:docPr id="75"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188416" cy="2449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的条件下，服从以两者内积为均值、</w:t>
      </w:r>
      <w:r w:rsidDel="00000000" w:rsidR="00000000" w:rsidRPr="00000000">
        <w:rPr>
          <w:rFonts w:ascii="Google Sans" w:cs="Google Sans" w:eastAsia="Google Sans" w:hAnsi="Google Sans"/>
          <w:color w:val="1f1f1f"/>
        </w:rPr>
        <w:drawing>
          <wp:inline distB="19050" distT="19050" distL="19050" distR="19050">
            <wp:extent cx="197148" cy="248024"/>
            <wp:effectExtent b="0" l="0" r="0" t="0"/>
            <wp:docPr id="71"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197148" cy="248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为方差的正态分布</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。因此，整个观测矩阵的条件概率（似然函数）为：</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64554"/>
            <wp:effectExtent b="0" l="0" r="0" t="0"/>
            <wp:docPr id="73"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5905500" cy="86455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w:t>
      </w:r>
      <w:r w:rsidDel="00000000" w:rsidR="00000000" w:rsidRPr="00000000">
        <w:rPr>
          <w:rFonts w:ascii="Google Sans" w:cs="Google Sans" w:eastAsia="Google Sans" w:hAnsi="Google Sans"/>
          <w:color w:val="1f1f1f"/>
        </w:rPr>
        <w:drawing>
          <wp:inline distB="19050" distT="19050" distL="19050" distR="19050">
            <wp:extent cx="245864" cy="252168"/>
            <wp:effectExtent b="0" l="0" r="0" t="0"/>
            <wp:docPr id="76"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245864" cy="252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是指示变量（Indicator Variable），若用户 </w:t>
      </w:r>
      <w:r w:rsidDel="00000000" w:rsidR="00000000" w:rsidRPr="00000000">
        <w:rPr>
          <w:rFonts w:ascii="Google Sans" w:cs="Google Sans" w:eastAsia="Google Sans" w:hAnsi="Google Sans"/>
          <w:color w:val="1f1f1f"/>
        </w:rPr>
        <w:drawing>
          <wp:inline distB="19050" distT="19050" distL="19050" distR="19050">
            <wp:extent cx="67667" cy="263902"/>
            <wp:effectExtent b="0" l="0" r="0" t="0"/>
            <wp:docPr id="78"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67667" cy="263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对物品 </w:t>
      </w:r>
      <w:r w:rsidDel="00000000" w:rsidR="00000000" w:rsidRPr="00000000">
        <w:rPr>
          <w:rFonts w:ascii="Google Sans" w:cs="Google Sans" w:eastAsia="Google Sans" w:hAnsi="Google Sans"/>
          <w:color w:val="1f1f1f"/>
        </w:rPr>
        <w:drawing>
          <wp:inline distB="19050" distT="19050" distL="19050" distR="19050">
            <wp:extent cx="91877" cy="238879"/>
            <wp:effectExtent b="0" l="0" r="0" t="0"/>
            <wp:docPr id="80"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91877" cy="238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有评分，则 </w:t>
      </w:r>
      <w:r w:rsidDel="00000000" w:rsidR="00000000" w:rsidRPr="00000000">
        <w:rPr>
          <w:rFonts w:ascii="Google Sans" w:cs="Google Sans" w:eastAsia="Google Sans" w:hAnsi="Google Sans"/>
          <w:color w:val="1f1f1f"/>
        </w:rPr>
        <w:drawing>
          <wp:inline distB="19050" distT="19050" distL="19050" distR="19050">
            <wp:extent cx="605135" cy="252139"/>
            <wp:effectExtent b="0" l="0" r="0" t="0"/>
            <wp:docPr id="82"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605135" cy="252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，否则为 </w:t>
      </w:r>
      <w:r w:rsidDel="00000000" w:rsidR="00000000" w:rsidRPr="00000000">
        <w:rPr>
          <w:rFonts w:ascii="Google Sans" w:cs="Google Sans" w:eastAsia="Google Sans" w:hAnsi="Google Sans"/>
          <w:color w:val="1f1f1f"/>
        </w:rPr>
        <w:drawing>
          <wp:inline distB="19050" distT="19050" distL="19050" distR="19050">
            <wp:extent cx="98028" cy="241804"/>
            <wp:effectExtent b="0" l="0" r="0" t="0"/>
            <wp:docPr id="84" name="image69.png"/>
            <a:graphic>
              <a:graphicData uri="http://schemas.openxmlformats.org/drawingml/2006/picture">
                <pic:pic>
                  <pic:nvPicPr>
                    <pic:cNvPr id="0" name="image69.png"/>
                    <pic:cNvPicPr preferRelativeResize="0"/>
                  </pic:nvPicPr>
                  <pic:blipFill>
                    <a:blip r:embed="rId22"/>
                    <a:srcRect b="0" l="0" r="0" t="0"/>
                    <a:stretch>
                      <a:fillRect/>
                    </a:stretch>
                  </pic:blipFill>
                  <pic:spPr>
                    <a:xfrm>
                      <a:off x="0" y="0"/>
                      <a:ext cx="98028" cy="24180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。为了避免过拟合，PMF 为用户和物品的潜变量引入了零均值的球面高斯先验分布（Spherical Gaussian Prior）：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64554"/>
            <wp:effectExtent b="0" l="0" r="0" t="0"/>
            <wp:docPr id="85" name="image67.png"/>
            <a:graphic>
              <a:graphicData uri="http://schemas.openxmlformats.org/drawingml/2006/picture">
                <pic:pic>
                  <pic:nvPicPr>
                    <pic:cNvPr id="0" name="image67.png"/>
                    <pic:cNvPicPr preferRelativeResize="0"/>
                  </pic:nvPicPr>
                  <pic:blipFill>
                    <a:blip r:embed="rId23"/>
                    <a:srcRect b="0" l="0" r="0" t="0"/>
                    <a:stretch>
                      <a:fillRect/>
                    </a:stretch>
                  </pic:blipFill>
                  <pic:spPr>
                    <a:xfrm>
                      <a:off x="0" y="0"/>
                      <a:ext cx="5905500" cy="86455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利用贝叶斯定理，最大化后验概率（MAP，Maximum A Posteriori）等价于最小化负对数后验概率，从而推导出经典的平方误差损失函数及 </w:t>
      </w:r>
      <w:r w:rsidDel="00000000" w:rsidR="00000000" w:rsidRPr="00000000">
        <w:rPr>
          <w:rFonts w:ascii="Google Sans" w:cs="Google Sans" w:eastAsia="Google Sans" w:hAnsi="Google Sans"/>
          <w:color w:val="1f1f1f"/>
        </w:rPr>
        <w:drawing>
          <wp:inline distB="19050" distT="19050" distL="19050" distR="19050">
            <wp:extent cx="211733" cy="250230"/>
            <wp:effectExtent b="0" l="0" r="0" t="0"/>
            <wp:docPr id="86" name="image68.png"/>
            <a:graphic>
              <a:graphicData uri="http://schemas.openxmlformats.org/drawingml/2006/picture">
                <pic:pic>
                  <pic:nvPicPr>
                    <pic:cNvPr id="0" name="image68.png"/>
                    <pic:cNvPicPr preferRelativeResize="0"/>
                  </pic:nvPicPr>
                  <pic:blipFill>
                    <a:blip r:embed="rId24"/>
                    <a:srcRect b="0" l="0" r="0" t="0"/>
                    <a:stretch>
                      <a:fillRect/>
                    </a:stretch>
                  </pic:blipFill>
                  <pic:spPr>
                    <a:xfrm>
                      <a:off x="0" y="0"/>
                      <a:ext cx="211733" cy="250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正则化项：</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64554"/>
            <wp:effectExtent b="0" l="0" r="0" t="0"/>
            <wp:docPr id="87" name="image64.png"/>
            <a:graphic>
              <a:graphicData uri="http://schemas.openxmlformats.org/drawingml/2006/picture">
                <pic:pic>
                  <pic:nvPicPr>
                    <pic:cNvPr id="0" name="image64.png"/>
                    <pic:cNvPicPr preferRelativeResize="0"/>
                  </pic:nvPicPr>
                  <pic:blipFill>
                    <a:blip r:embed="rId25"/>
                    <a:srcRect b="0" l="0" r="0" t="0"/>
                    <a:stretch>
                      <a:fillRect/>
                    </a:stretch>
                  </pic:blipFill>
                  <pic:spPr>
                    <a:xfrm>
                      <a:off x="0" y="0"/>
                      <a:ext cx="5905500" cy="86455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其中，正则化系数 </w:t>
      </w:r>
      <w:r w:rsidDel="00000000" w:rsidR="00000000" w:rsidRPr="00000000">
        <w:rPr>
          <w:rFonts w:ascii="Google Sans" w:cs="Google Sans" w:eastAsia="Google Sans" w:hAnsi="Google Sans"/>
          <w:color w:val="1f1f1f"/>
        </w:rPr>
        <w:drawing>
          <wp:inline distB="19050" distT="19050" distL="19050" distR="19050">
            <wp:extent cx="1048741" cy="247884"/>
            <wp:effectExtent b="0" l="0" r="0" t="0"/>
            <wp:docPr id="41" name="image65.png"/>
            <a:graphic>
              <a:graphicData uri="http://schemas.openxmlformats.org/drawingml/2006/picture">
                <pic:pic>
                  <pic:nvPicPr>
                    <pic:cNvPr id="0" name="image65.png"/>
                    <pic:cNvPicPr preferRelativeResize="0"/>
                  </pic:nvPicPr>
                  <pic:blipFill>
                    <a:blip r:embed="rId26"/>
                    <a:srcRect b="0" l="0" r="0" t="0"/>
                    <a:stretch>
                      <a:fillRect/>
                    </a:stretch>
                  </pic:blipFill>
                  <pic:spPr>
                    <a:xfrm>
                      <a:off x="0" y="0"/>
                      <a:ext cx="1048741" cy="247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且 </w:t>
      </w:r>
      <w:r w:rsidDel="00000000" w:rsidR="00000000" w:rsidRPr="00000000">
        <w:rPr>
          <w:rFonts w:ascii="Google Sans" w:cs="Google Sans" w:eastAsia="Google Sans" w:hAnsi="Google Sans"/>
          <w:color w:val="1f1f1f"/>
        </w:rPr>
        <w:drawing>
          <wp:inline distB="19050" distT="19050" distL="19050" distR="19050">
            <wp:extent cx="1052513" cy="247277"/>
            <wp:effectExtent b="0" l="0" r="0" t="0"/>
            <wp:docPr id="43"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1052513" cy="24727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。尽管PMF在处理稀疏数据上比传统的基于内存（Memory-based）的KNN算法更具优势，但由于其独立同分布假设，它完全忽略了用户之间的社交连通性</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联合分解模型：SoRec与拓扑矩阵融合</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为解决数据极端稀疏和冷启动问题，研究人员直观地认为可以联合使用用户的社交网络信息。SoRec（Social Recommendation using Probabilistic Matrix Factorization）是该领域的开创性工作之一</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在真实的社交网络中，我们可以用一个有向图 </w:t>
      </w:r>
      <w:r w:rsidDel="00000000" w:rsidR="00000000" w:rsidRPr="00000000">
        <w:rPr>
          <w:rFonts w:ascii="Google Sans" w:cs="Google Sans" w:eastAsia="Google Sans" w:hAnsi="Google Sans"/>
          <w:color w:val="1f1f1f"/>
        </w:rPr>
        <w:drawing>
          <wp:inline distB="19050" distT="19050" distL="19050" distR="19050">
            <wp:extent cx="968578" cy="246892"/>
            <wp:effectExtent b="0" l="0" r="0" t="0"/>
            <wp:docPr id="4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968578" cy="246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表示，其对应的社交网络权重矩阵为 </w:t>
      </w:r>
      <w:r w:rsidDel="00000000" w:rsidR="00000000" w:rsidRPr="00000000">
        <w:rPr>
          <w:rFonts w:ascii="Google Sans" w:cs="Google Sans" w:eastAsia="Google Sans" w:hAnsi="Google Sans"/>
          <w:color w:val="1f1f1f"/>
        </w:rPr>
        <w:drawing>
          <wp:inline distB="19050" distT="19050" distL="19050" distR="19050">
            <wp:extent cx="901501" cy="247595"/>
            <wp:effectExtent b="0" l="0" r="0" t="0"/>
            <wp:docPr id="47"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901501" cy="247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964406" cy="249085"/>
            <wp:effectExtent b="0" l="0" r="0" t="0"/>
            <wp:docPr id="49"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964406" cy="2490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表示用户 </w:t>
      </w:r>
      <w:r w:rsidDel="00000000" w:rsidR="00000000" w:rsidRPr="00000000">
        <w:rPr>
          <w:rFonts w:ascii="Google Sans" w:cs="Google Sans" w:eastAsia="Google Sans" w:hAnsi="Google Sans"/>
          <w:color w:val="1f1f1f"/>
        </w:rPr>
        <w:drawing>
          <wp:inline distB="19050" distT="19050" distL="19050" distR="19050">
            <wp:extent cx="67667" cy="263902"/>
            <wp:effectExtent b="0" l="0" r="0" t="0"/>
            <wp:docPr id="51"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67667" cy="263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信任或认识用户 </w:t>
      </w:r>
      <w:r w:rsidDel="00000000" w:rsidR="00000000" w:rsidRPr="00000000">
        <w:rPr>
          <w:rFonts w:ascii="Google Sans" w:cs="Google Sans" w:eastAsia="Google Sans" w:hAnsi="Google Sans"/>
          <w:color w:val="1f1f1f"/>
        </w:rPr>
        <w:drawing>
          <wp:inline distB="19050" distT="19050" distL="19050" distR="19050">
            <wp:extent cx="108248" cy="263854"/>
            <wp:effectExtent b="0" l="0" r="0" t="0"/>
            <wp:docPr id="53"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108248" cy="263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的程度。由于社交信任具有不对称性（如Twitter上的单向关注），矩阵 </w:t>
      </w:r>
      <w:r w:rsidDel="00000000" w:rsidR="00000000" w:rsidRPr="00000000">
        <w:rPr>
          <w:rFonts w:ascii="Google Sans" w:cs="Google Sans" w:eastAsia="Google Sans" w:hAnsi="Google Sans"/>
          <w:color w:val="1f1f1f"/>
        </w:rPr>
        <w:drawing>
          <wp:inline distB="19050" distT="19050" distL="19050" distR="19050">
            <wp:extent cx="154087" cy="250391"/>
            <wp:effectExtent b="0" l="0" r="0" t="0"/>
            <wp:docPr id="54"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154087" cy="250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通常是非对称的</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SoRec 的核心创新在于</w:t>
      </w:r>
      <w:r w:rsidDel="00000000" w:rsidR="00000000" w:rsidRPr="00000000">
        <w:rPr>
          <w:rFonts w:ascii="Google Sans" w:cs="Google Sans" w:eastAsia="Google Sans" w:hAnsi="Google Sans"/>
          <w:b w:val="1"/>
          <w:bCs w:val="1"/>
          <w:color w:val="1f1f1f"/>
          <w:rtl w:val="0"/>
        </w:rPr>
        <w:t xml:space="preserve">共享用户潜特征空间</w:t>
      </w:r>
      <w:r w:rsidDel="00000000" w:rsidR="00000000" w:rsidRPr="00000000">
        <w:rPr>
          <w:rFonts w:ascii="Google Sans" w:cs="Google Sans" w:eastAsia="Google Sans" w:hAnsi="Google Sans"/>
          <w:color w:val="1f1f1f"/>
          <w:rtl w:val="0"/>
        </w:rPr>
        <w:t xml:space="preserve">。模型在分解评分矩阵 </w:t>
      </w:r>
      <w:r w:rsidDel="00000000" w:rsidR="00000000" w:rsidRPr="00000000">
        <w:rPr>
          <w:rFonts w:ascii="Google Sans" w:cs="Google Sans" w:eastAsia="Google Sans" w:hAnsi="Google Sans"/>
          <w:color w:val="1f1f1f"/>
        </w:rPr>
        <w:drawing>
          <wp:inline distB="19050" distT="19050" distL="19050" distR="19050">
            <wp:extent cx="833239" cy="249972"/>
            <wp:effectExtent b="0" l="0" r="0" t="0"/>
            <wp:docPr id="55"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833239" cy="249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的同时，对社交矩阵 </w:t>
      </w:r>
      <w:r w:rsidDel="00000000" w:rsidR="00000000" w:rsidRPr="00000000">
        <w:rPr>
          <w:rFonts w:ascii="Google Sans" w:cs="Google Sans" w:eastAsia="Google Sans" w:hAnsi="Google Sans"/>
          <w:color w:val="1f1f1f"/>
        </w:rPr>
        <w:drawing>
          <wp:inline distB="19050" distT="19050" distL="19050" distR="19050">
            <wp:extent cx="154087" cy="250391"/>
            <wp:effectExtent b="0" l="0" r="0" t="0"/>
            <wp:docPr id="56"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154087" cy="250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也进行分解：</w:t>
      </w:r>
      <w:r w:rsidDel="00000000" w:rsidR="00000000" w:rsidRPr="00000000">
        <w:rPr>
          <w:rFonts w:ascii="Google Sans" w:cs="Google Sans" w:eastAsia="Google Sans" w:hAnsi="Google Sans"/>
          <w:color w:val="1f1f1f"/>
        </w:rPr>
        <w:drawing>
          <wp:inline distB="19050" distT="19050" distL="19050" distR="19050">
            <wp:extent cx="827187" cy="248156"/>
            <wp:effectExtent b="0" l="0" r="0" t="0"/>
            <wp:docPr id="20"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827187" cy="248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。这里引入了一个新的因子矩阵 </w:t>
      </w:r>
      <w:r w:rsidDel="00000000" w:rsidR="00000000" w:rsidRPr="00000000">
        <w:rPr>
          <w:rFonts w:ascii="Google Sans" w:cs="Google Sans" w:eastAsia="Google Sans" w:hAnsi="Google Sans"/>
          <w:color w:val="1f1f1f"/>
        </w:rPr>
        <w:drawing>
          <wp:inline distB="19050" distT="19050" distL="19050" distR="19050">
            <wp:extent cx="887611" cy="249042"/>
            <wp:effectExtent b="0" l="0" r="0" t="0"/>
            <wp:docPr id="22"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887611" cy="249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，专门用于表征用户在社交网络中“被他人信任”（Trustee）的潜在属性。</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为了将内积的范围约束在 </w:t>
      </w:r>
      <w:r w:rsidDel="00000000" w:rsidR="00000000" w:rsidRPr="00000000">
        <w:rPr>
          <w:rFonts w:ascii="Google Sans" w:cs="Google Sans" w:eastAsia="Google Sans" w:hAnsi="Google Sans"/>
          <w:color w:val="1f1f1f"/>
        </w:rPr>
        <w:drawing>
          <wp:inline distB="19050" distT="19050" distL="19050" distR="19050">
            <wp:extent cx="413940" cy="239309"/>
            <wp:effectExtent b="0" l="0" r="0" t="0"/>
            <wp:docPr id="24"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413940" cy="239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之间，模型在内积外层嵌套了逻辑斯蒂函数（Logistic Function）</w:t>
      </w:r>
      <w:r w:rsidDel="00000000" w:rsidR="00000000" w:rsidRPr="00000000">
        <w:rPr>
          <w:rFonts w:ascii="Google Sans" w:cs="Google Sans" w:eastAsia="Google Sans" w:hAnsi="Google Sans"/>
          <w:color w:val="1f1f1f"/>
        </w:rPr>
        <w:drawing>
          <wp:inline distB="19050" distT="19050" distL="19050" distR="19050">
            <wp:extent cx="1598714" cy="247420"/>
            <wp:effectExtent b="0" l="0" r="0" t="0"/>
            <wp:docPr id="26"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1598714" cy="24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。由此，联合优化的目标函数扩展为</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7959"/>
            <wp:effectExtent b="0" l="0" r="0" t="0"/>
            <wp:docPr id="28"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05500" cy="82795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通过这种机制，一个没有历史评分的新用户，只要他/她在社交网络中与其他用户存在连接，其特征向量 </w:t>
      </w:r>
      <w:r w:rsidDel="00000000" w:rsidR="00000000" w:rsidRPr="00000000">
        <w:rPr>
          <w:rFonts w:ascii="Google Sans" w:cs="Google Sans" w:eastAsia="Google Sans" w:hAnsi="Google Sans"/>
          <w:color w:val="1f1f1f"/>
        </w:rPr>
        <w:drawing>
          <wp:inline distB="19050" distT="19050" distL="19050" distR="19050">
            <wp:extent cx="190897" cy="248166"/>
            <wp:effectExtent b="0" l="0" r="0" t="0"/>
            <wp:docPr id="3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90897" cy="248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就能通过联合梯度下降的过程从其社交网络邻居那里获得有效的参数更新，从而极大改善了冷启动用户的推荐质量</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社会影响力与信任传播机制：SocialMF</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尽管SoRec从网络拓扑结构的维度对矩阵分解进行了约束，但它并没有深入体现社会学中的动态传播特性。在社会网络分析（SNA）中，信任传播（Trust Propagation）被证明是一个至关重要的现象：信任不仅存在于直接相连的节点之间，还会随着社交链路向深层邻居（如朋友的朋友）传递</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为了在推荐系统中刻画这一属性，Jamali 等人提出了 SocialMF 算法</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。SocialMF 的理念不同于联合分解，它采用了一种“社会正则化”（Social Regularization）策略。模型假设：一个用户的特征向量应当不仅取决于其自身的历史评分，还应当取决于他所信任的人的特征向量的加权平均值</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设 </w:t>
      </w:r>
      <w:r w:rsidDel="00000000" w:rsidR="00000000" w:rsidRPr="00000000">
        <w:rPr>
          <w:rFonts w:ascii="Google Sans" w:cs="Google Sans" w:eastAsia="Google Sans" w:hAnsi="Google Sans"/>
          <w:color w:val="1f1f1f"/>
        </w:rPr>
        <w:drawing>
          <wp:inline distB="19050" distT="19050" distL="19050" distR="19050">
            <wp:extent cx="217785" cy="237002"/>
            <wp:effectExtent b="0" l="0" r="0" t="0"/>
            <wp:docPr id="32"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217785" cy="23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为用户 </w:t>
      </w:r>
      <w:r w:rsidDel="00000000" w:rsidR="00000000" w:rsidRPr="00000000">
        <w:rPr>
          <w:rFonts w:ascii="Google Sans" w:cs="Google Sans" w:eastAsia="Google Sans" w:hAnsi="Google Sans"/>
          <w:color w:val="1f1f1f"/>
        </w:rPr>
        <w:drawing>
          <wp:inline distB="19050" distT="19050" distL="19050" distR="19050">
            <wp:extent cx="67667" cy="263902"/>
            <wp:effectExtent b="0" l="0" r="0" t="0"/>
            <wp:docPr id="33"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67667" cy="263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关注/信任的好友集合，</w:t>
      </w:r>
      <w:r w:rsidDel="00000000" w:rsidR="00000000" w:rsidRPr="00000000">
        <w:rPr>
          <w:rFonts w:ascii="Google Sans" w:cs="Google Sans" w:eastAsia="Google Sans" w:hAnsi="Google Sans"/>
          <w:color w:val="1f1f1f"/>
        </w:rPr>
        <w:drawing>
          <wp:inline distB="19050" distT="19050" distL="19050" distR="19050">
            <wp:extent cx="281186" cy="243694"/>
            <wp:effectExtent b="0" l="0" r="0" t="0"/>
            <wp:docPr id="34"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281186" cy="2436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为用户 </w:t>
      </w:r>
      <w:r w:rsidDel="00000000" w:rsidR="00000000" w:rsidRPr="00000000">
        <w:rPr>
          <w:rFonts w:ascii="Google Sans" w:cs="Google Sans" w:eastAsia="Google Sans" w:hAnsi="Google Sans"/>
          <w:color w:val="1f1f1f"/>
        </w:rPr>
        <w:drawing>
          <wp:inline distB="19050" distT="19050" distL="19050" distR="19050">
            <wp:extent cx="67667" cy="263902"/>
            <wp:effectExtent b="0" l="0" r="0" t="0"/>
            <wp:docPr id="35"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67667" cy="263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对好友 </w:t>
      </w:r>
      <w:r w:rsidDel="00000000" w:rsidR="00000000" w:rsidRPr="00000000">
        <w:rPr>
          <w:rFonts w:ascii="Google Sans" w:cs="Google Sans" w:eastAsia="Google Sans" w:hAnsi="Google Sans"/>
          <w:color w:val="1f1f1f"/>
        </w:rPr>
        <w:drawing>
          <wp:inline distB="19050" distT="19050" distL="19050" distR="19050">
            <wp:extent cx="101997" cy="248617"/>
            <wp:effectExtent b="0" l="0" r="0" t="0"/>
            <wp:docPr id="2"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101997"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的归一化信任度（满足 </w:t>
      </w:r>
      <w:r w:rsidDel="00000000" w:rsidR="00000000" w:rsidRPr="00000000">
        <w:rPr>
          <w:rFonts w:ascii="Google Sans" w:cs="Google Sans" w:eastAsia="Google Sans" w:hAnsi="Google Sans"/>
          <w:color w:val="1f1f1f"/>
        </w:rPr>
        <w:drawing>
          <wp:inline distB="19050" distT="19050" distL="19050" distR="19050">
            <wp:extent cx="1208684" cy="254460"/>
            <wp:effectExtent b="0" l="0" r="0" t="0"/>
            <wp:docPr id="4"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1208684" cy="254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）。SocialMF 在 PMF 损失函数的基础上引入了信任传播的惩罚项：</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78277"/>
            <wp:effectExtent b="0" l="0" r="0" t="0"/>
            <wp:docPr id="6"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905500" cy="87827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121246" cy="248873"/>
            <wp:effectExtent b="0" l="0" r="0" t="0"/>
            <wp:docPr id="8"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121246" cy="248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控制着社会影响力的比重。这一项迫使互相信任的用户的隐向量在欧几里得空间中相互靠近</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。更重要的是，在随机梯度下降（SGD）或交替最小二乘（ALS）迭代优化的过程中，由于 </w:t>
      </w:r>
      <w:r w:rsidDel="00000000" w:rsidR="00000000" w:rsidRPr="00000000">
        <w:rPr>
          <w:rFonts w:ascii="Google Sans" w:cs="Google Sans" w:eastAsia="Google Sans" w:hAnsi="Google Sans"/>
          <w:color w:val="1f1f1f"/>
        </w:rPr>
        <w:drawing>
          <wp:inline distB="19050" distT="19050" distL="19050" distR="19050">
            <wp:extent cx="190897" cy="248166"/>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90897" cy="248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依赖于 </w:t>
      </w:r>
      <w:r w:rsidDel="00000000" w:rsidR="00000000" w:rsidRPr="00000000">
        <w:rPr>
          <w:rFonts w:ascii="Google Sans" w:cs="Google Sans" w:eastAsia="Google Sans" w:hAnsi="Google Sans"/>
          <w:color w:val="1f1f1f"/>
        </w:rPr>
        <w:drawing>
          <wp:inline distB="19050" distT="19050" distL="19050" distR="19050">
            <wp:extent cx="215007" cy="246626"/>
            <wp:effectExtent b="0" l="0" r="0" t="0"/>
            <wp:docPr id="10"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215007" cy="2466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，而 </w:t>
      </w:r>
      <w:r w:rsidDel="00000000" w:rsidR="00000000" w:rsidRPr="00000000">
        <w:rPr>
          <w:rFonts w:ascii="Google Sans" w:cs="Google Sans" w:eastAsia="Google Sans" w:hAnsi="Google Sans"/>
          <w:color w:val="1f1f1f"/>
        </w:rPr>
        <w:drawing>
          <wp:inline distB="19050" distT="19050" distL="19050" distR="19050">
            <wp:extent cx="215007" cy="246626"/>
            <wp:effectExtent b="0" l="0" r="0" t="0"/>
            <wp:docPr id="11"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215007" cy="2466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又依赖于 </w:t>
      </w:r>
      <w:r w:rsidDel="00000000" w:rsidR="00000000" w:rsidRPr="00000000">
        <w:rPr>
          <w:rFonts w:ascii="Google Sans" w:cs="Google Sans" w:eastAsia="Google Sans" w:hAnsi="Google Sans"/>
          <w:color w:val="1f1f1f"/>
        </w:rPr>
        <w:drawing>
          <wp:inline distB="19050" distT="19050" distL="19050" distR="19050">
            <wp:extent cx="215007" cy="246626"/>
            <wp:effectExtent b="0" l="0" r="0" t="0"/>
            <wp:docPr id="12"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215007" cy="2466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的邻居，参数的更新就像波纹一样在整个社交网络中进行传播。这使得那些间接连接（Indirectly Connected）的冷启动用户也能在没有显式边相连的情况下，接受到网络核心群体的偏好辐射</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后续的研究进一步对该体系进行了扩充，例如TrustSVD与EISR模型深入探讨了不仅利用显式社交网络（Explicit Friendship），还可以通过用户共同评分物品的重合度计算出隐式社交信任（Implicit Friendship），构建复合信任网络以进一步消除稀疏性</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。此外，SPMF算法指出了全局信任假设的缺陷：具有亲密社交关系的用户并不在所有领域偏好相似（如信任父母的生活建议，但不认同其音乐品味），这揭示了进行细粒度偏好域切分（Preference Domain Segmentation）的重要性</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迈向高阶拓扑建模：基于图神经网络的社交推荐</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基于矩阵分解的模型（如SocialMF、SoRec）虽然具备优良的概率可解释性，但其底层数学逻辑面临着严重的性能天花板：其一，线性内积操作（Dot Product）无法有效刻画用户特征与物品特征之间复杂的非线性交互规律；其二，以社会正则化为代表的技术本质上只捕获了一阶（First-order）社交信号，严重忽略了图中高阶的路径连通性与协同模式</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随着深度学习，特别是图神经网络（Graph Neural Networks, GNNs）在非欧几里得空间数据处理上的突破，社交推荐迎来了革命性的范式转换</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。推荐系统的交互与社交数据可以被自然地表征为包含用户和物品实体的异构图（Heterogeneous Graph）或两个同质/二分图（User-User Social Graph &amp; User-Item Interaction Graph）</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。GNN通过在图节点间递归地聚合局部邻居信息，能够将高阶的网络结构隐式地编码到节点的低维稠密向量（Embeddings）中</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跨图融合与意见感知建模：GraphRec 架构剖析</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GNN在社交推荐中的经典应用是 WWW 2019 发表的 GraphRec 框架</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。真实社交推荐网络极为复杂：一方面，用户与物品的连边不仅代表“发生过交互”，其携带的评分（如 1 分或 5 分）代表了截然相反的用户意见（Opinions）；另一方面，用户的社交网络包含了强关系（如现实挚友）与弱关系（如泛泛之交），具有极强的权重异质性（Heterogeneous Strengths）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。GraphRec 巧妙地解决了这两个难题。</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GraphRec 的前向传播流程包含两个平行的聚合模块：</w:t>
      </w:r>
      <w:r w:rsidDel="00000000" w:rsidR="00000000" w:rsidRPr="00000000">
        <w:rPr>
          <w:rFonts w:ascii="Google Sans" w:cs="Google Sans" w:eastAsia="Google Sans" w:hAnsi="Google Sans"/>
          <w:b w:val="1"/>
          <w:bCs w:val="1"/>
          <w:color w:val="1f1f1f"/>
          <w:rtl w:val="0"/>
        </w:rPr>
        <w:t xml:space="preserve">物品聚合（Item Aggregation）与社交聚合（Social Aggregation）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（1）交互与意见的联合物品聚合</w:t>
      </w:r>
      <w:r w:rsidDel="00000000" w:rsidR="00000000" w:rsidRPr="00000000">
        <w:rPr>
          <w:rFonts w:ascii="Google Sans" w:cs="Google Sans" w:eastAsia="Google Sans" w:hAnsi="Google Sans"/>
          <w:color w:val="1f1f1f"/>
          <w:rtl w:val="0"/>
        </w:rPr>
        <w:t xml:space="preserve"> 在用户-物品二分图中，单纯聚合物品的ID表征是不够的。GraphRec 首先通过多层感知机（MLP）将邻居物品 </w:t>
      </w:r>
      <w:r w:rsidDel="00000000" w:rsidR="00000000" w:rsidRPr="00000000">
        <w:rPr>
          <w:rFonts w:ascii="Google Sans" w:cs="Google Sans" w:eastAsia="Google Sans" w:hAnsi="Google Sans"/>
          <w:color w:val="1f1f1f"/>
        </w:rPr>
        <w:drawing>
          <wp:inline distB="19050" distT="19050" distL="19050" distR="19050">
            <wp:extent cx="103683" cy="252728"/>
            <wp:effectExtent b="0" l="0" r="0" t="0"/>
            <wp:docPr id="13"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103683" cy="252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的嵌入 </w:t>
      </w:r>
      <w:r w:rsidDel="00000000" w:rsidR="00000000" w:rsidRPr="00000000">
        <w:rPr>
          <w:rFonts w:ascii="Google Sans" w:cs="Google Sans" w:eastAsia="Google Sans" w:hAnsi="Google Sans"/>
          <w:color w:val="1f1f1f"/>
        </w:rPr>
        <w:drawing>
          <wp:inline distB="19050" distT="19050" distL="19050" distR="19050">
            <wp:extent cx="169664" cy="245070"/>
            <wp:effectExtent b="0" l="0" r="0" t="0"/>
            <wp:docPr id="14"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169664" cy="245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和用户给出的特定评分嵌入 </w:t>
      </w:r>
      <w:r w:rsidDel="00000000" w:rsidR="00000000" w:rsidRPr="00000000">
        <w:rPr>
          <w:rFonts w:ascii="Google Sans" w:cs="Google Sans" w:eastAsia="Google Sans" w:hAnsi="Google Sans"/>
          <w:color w:val="1f1f1f"/>
        </w:rPr>
        <w:drawing>
          <wp:inline distB="19050" distT="19050" distL="19050" distR="19050">
            <wp:extent cx="166787" cy="240914"/>
            <wp:effectExtent b="0" l="0" r="0" t="0"/>
            <wp:docPr id="63" name="image51.png"/>
            <a:graphic>
              <a:graphicData uri="http://schemas.openxmlformats.org/drawingml/2006/picture">
                <pic:pic>
                  <pic:nvPicPr>
                    <pic:cNvPr id="0" name="image51.png"/>
                    <pic:cNvPicPr preferRelativeResize="0"/>
                  </pic:nvPicPr>
                  <pic:blipFill>
                    <a:blip r:embed="rId48"/>
                    <a:srcRect b="0" l="0" r="0" t="0"/>
                    <a:stretch>
                      <a:fillRect/>
                    </a:stretch>
                  </pic:blipFill>
                  <pic:spPr>
                    <a:xfrm>
                      <a:off x="0" y="0"/>
                      <a:ext cx="166787" cy="2409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进行连接，产生包含“意见”的交互表征 </w:t>
      </w:r>
      <w:r w:rsidDel="00000000" w:rsidR="00000000" w:rsidRPr="00000000">
        <w:rPr>
          <w:rFonts w:ascii="Google Sans" w:cs="Google Sans" w:eastAsia="Google Sans" w:hAnsi="Google Sans"/>
          <w:color w:val="1f1f1f"/>
        </w:rPr>
        <w:drawing>
          <wp:inline distB="19050" distT="19050" distL="19050" distR="19050">
            <wp:extent cx="241697" cy="254762"/>
            <wp:effectExtent b="0" l="0" r="0" t="0"/>
            <wp:docPr id="66" name="image55.png"/>
            <a:graphic>
              <a:graphicData uri="http://schemas.openxmlformats.org/drawingml/2006/picture">
                <pic:pic>
                  <pic:nvPicPr>
                    <pic:cNvPr id="0" name="image55.png"/>
                    <pic:cNvPicPr preferRelativeResize="0"/>
                  </pic:nvPicPr>
                  <pic:blipFill>
                    <a:blip r:embed="rId49"/>
                    <a:srcRect b="0" l="0" r="0" t="0"/>
                    <a:stretch>
                      <a:fillRect/>
                    </a:stretch>
                  </pic:blipFill>
                  <pic:spPr>
                    <a:xfrm>
                      <a:off x="0" y="0"/>
                      <a:ext cx="241697" cy="25476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9775"/>
            <wp:effectExtent b="0" l="0" r="0" t="0"/>
            <wp:docPr id="67" name="image58.png"/>
            <a:graphic>
              <a:graphicData uri="http://schemas.openxmlformats.org/drawingml/2006/picture">
                <pic:pic>
                  <pic:nvPicPr>
                    <pic:cNvPr id="0" name="image58.png"/>
                    <pic:cNvPicPr preferRelativeResize="0"/>
                  </pic:nvPicPr>
                  <pic:blipFill>
                    <a:blip r:embed="rId50"/>
                    <a:srcRect b="0" l="0" r="0" t="0"/>
                    <a:stretch>
                      <a:fillRect/>
                    </a:stretch>
                  </pic:blipFill>
                  <pic:spPr>
                    <a:xfrm>
                      <a:off x="0" y="0"/>
                      <a:ext cx="5905500" cy="5397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因为用户对不同物品的喜爱程度各异，模型不应采用简单的平均池化（Mean Pooling）。相反，GraphRec 采用两层神经网络设计了注意力机制（Attention Mechanism），自适应计算各物品交互的重要性权重 </w:t>
      </w:r>
      <w:r w:rsidDel="00000000" w:rsidR="00000000" w:rsidRPr="00000000">
        <w:rPr>
          <w:rFonts w:ascii="Google Sans" w:cs="Google Sans" w:eastAsia="Google Sans" w:hAnsi="Google Sans"/>
          <w:color w:val="1f1f1f"/>
        </w:rPr>
        <w:drawing>
          <wp:inline distB="19050" distT="19050" distL="19050" distR="19050">
            <wp:extent cx="254992" cy="248617"/>
            <wp:effectExtent b="0" l="0" r="0" t="0"/>
            <wp:docPr id="69"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254992"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，从而得到物品空间下该用户的潜在表示 </w:t>
      </w:r>
      <w:r w:rsidDel="00000000" w:rsidR="00000000" w:rsidRPr="00000000">
        <w:rPr>
          <w:rFonts w:ascii="Google Sans" w:cs="Google Sans" w:eastAsia="Google Sans" w:hAnsi="Google Sans"/>
          <w:color w:val="1f1f1f"/>
        </w:rPr>
        <w:drawing>
          <wp:inline distB="19050" distT="19050" distL="19050" distR="19050">
            <wp:extent cx="193675" cy="251777"/>
            <wp:effectExtent b="0" l="0" r="0" t="0"/>
            <wp:docPr id="72"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193675" cy="251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19447"/>
            <wp:effectExtent b="0" l="0" r="0" t="0"/>
            <wp:docPr id="74" name="image59.png"/>
            <a:graphic>
              <a:graphicData uri="http://schemas.openxmlformats.org/drawingml/2006/picture">
                <pic:pic>
                  <pic:nvPicPr>
                    <pic:cNvPr id="0" name="image59.png"/>
                    <pic:cNvPicPr preferRelativeResize="0"/>
                  </pic:nvPicPr>
                  <pic:blipFill>
                    <a:blip r:embed="rId53"/>
                    <a:srcRect b="0" l="0" r="0" t="0"/>
                    <a:stretch>
                      <a:fillRect/>
                    </a:stretch>
                  </pic:blipFill>
                  <pic:spPr>
                    <a:xfrm>
                      <a:off x="0" y="0"/>
                      <a:ext cx="5905500" cy="91944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（2）关系异质性的自适应社交聚合</w:t>
      </w:r>
      <w:r w:rsidDel="00000000" w:rsidR="00000000" w:rsidRPr="00000000">
        <w:rPr>
          <w:rFonts w:ascii="Google Sans" w:cs="Google Sans" w:eastAsia="Google Sans" w:hAnsi="Google Sans"/>
          <w:color w:val="1f1f1f"/>
          <w:rtl w:val="0"/>
        </w:rPr>
        <w:t xml:space="preserve"> 同理，在社交图（User-User Graph）中，模型需要学习社交空间下的用户特征 </w:t>
      </w:r>
      <w:r w:rsidDel="00000000" w:rsidR="00000000" w:rsidRPr="00000000">
        <w:rPr>
          <w:rFonts w:ascii="Google Sans" w:cs="Google Sans" w:eastAsia="Google Sans" w:hAnsi="Google Sans"/>
          <w:color w:val="1f1f1f"/>
        </w:rPr>
        <w:drawing>
          <wp:inline distB="19050" distT="19050" distL="19050" distR="19050">
            <wp:extent cx="214610" cy="246170"/>
            <wp:effectExtent b="0" l="0" r="0" t="0"/>
            <wp:docPr id="77"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214610" cy="246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。GraphRec 使用社交注意力权重 </w:t>
      </w:r>
      <w:r w:rsidDel="00000000" w:rsidR="00000000" w:rsidRPr="00000000">
        <w:rPr>
          <w:rFonts w:ascii="Google Sans" w:cs="Google Sans" w:eastAsia="Google Sans" w:hAnsi="Google Sans"/>
          <w:color w:val="1f1f1f"/>
        </w:rPr>
        <w:drawing>
          <wp:inline distB="19050" distT="19050" distL="19050" distR="19050">
            <wp:extent cx="234553" cy="247232"/>
            <wp:effectExtent b="0" l="0" r="0" t="0"/>
            <wp:docPr id="79" name="image63.png"/>
            <a:graphic>
              <a:graphicData uri="http://schemas.openxmlformats.org/drawingml/2006/picture">
                <pic:pic>
                  <pic:nvPicPr>
                    <pic:cNvPr id="0" name="image63.png"/>
                    <pic:cNvPicPr preferRelativeResize="0"/>
                  </pic:nvPicPr>
                  <pic:blipFill>
                    <a:blip r:embed="rId55"/>
                    <a:srcRect b="0" l="0" r="0" t="0"/>
                    <a:stretch>
                      <a:fillRect/>
                    </a:stretch>
                  </pic:blipFill>
                  <pic:spPr>
                    <a:xfrm>
                      <a:off x="0" y="0"/>
                      <a:ext cx="234553" cy="24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来区分不同社交好友的影响力：</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19447"/>
            <wp:effectExtent b="0" l="0" r="0" t="0"/>
            <wp:docPr id="81" name="image56.png"/>
            <a:graphic>
              <a:graphicData uri="http://schemas.openxmlformats.org/drawingml/2006/picture">
                <pic:pic>
                  <pic:nvPicPr>
                    <pic:cNvPr id="0" name="image56.png"/>
                    <pic:cNvPicPr preferRelativeResize="0"/>
                  </pic:nvPicPr>
                  <pic:blipFill>
                    <a:blip r:embed="rId56"/>
                    <a:srcRect b="0" l="0" r="0" t="0"/>
                    <a:stretch>
                      <a:fillRect/>
                    </a:stretch>
                  </pic:blipFill>
                  <pic:spPr>
                    <a:xfrm>
                      <a:off x="0" y="0"/>
                      <a:ext cx="5905500" cy="91944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（3）跨空间融合与预测</w:t>
      </w:r>
      <w:r w:rsidDel="00000000" w:rsidR="00000000" w:rsidRPr="00000000">
        <w:rPr>
          <w:rFonts w:ascii="Google Sans" w:cs="Google Sans" w:eastAsia="Google Sans" w:hAnsi="Google Sans"/>
          <w:color w:val="1f1f1f"/>
          <w:rtl w:val="0"/>
        </w:rPr>
        <w:t xml:space="preserve"> 最终，模型将用户在物品空间的特征 </w:t>
      </w:r>
      <w:r w:rsidDel="00000000" w:rsidR="00000000" w:rsidRPr="00000000">
        <w:rPr>
          <w:rFonts w:ascii="Google Sans" w:cs="Google Sans" w:eastAsia="Google Sans" w:hAnsi="Google Sans"/>
          <w:color w:val="1f1f1f"/>
        </w:rPr>
        <w:drawing>
          <wp:inline distB="19050" distT="19050" distL="19050" distR="19050">
            <wp:extent cx="193675" cy="251777"/>
            <wp:effectExtent b="0" l="0" r="0" t="0"/>
            <wp:docPr id="83"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193675" cy="251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与社交空间的特征 </w:t>
      </w:r>
      <w:r w:rsidDel="00000000" w:rsidR="00000000" w:rsidRPr="00000000">
        <w:rPr>
          <w:rFonts w:ascii="Google Sans" w:cs="Google Sans" w:eastAsia="Google Sans" w:hAnsi="Google Sans"/>
          <w:color w:val="1f1f1f"/>
        </w:rPr>
        <w:drawing>
          <wp:inline distB="19050" distT="19050" distL="19050" distR="19050">
            <wp:extent cx="214610" cy="246170"/>
            <wp:effectExtent b="0" l="0" r="0" t="0"/>
            <wp:docPr id="62"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214610" cy="246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拼接，经过激活函数得到用户的最终综合嵌入 </w:t>
      </w:r>
      <w:r w:rsidDel="00000000" w:rsidR="00000000" w:rsidRPr="00000000">
        <w:rPr>
          <w:rFonts w:ascii="Google Sans" w:cs="Google Sans" w:eastAsia="Google Sans" w:hAnsi="Google Sans"/>
          <w:color w:val="1f1f1f"/>
        </w:rPr>
        <w:drawing>
          <wp:inline distB="19050" distT="19050" distL="19050" distR="19050">
            <wp:extent cx="169962" cy="245501"/>
            <wp:effectExtent b="0" l="0" r="0" t="0"/>
            <wp:docPr id="38" name="image33.png"/>
            <a:graphic>
              <a:graphicData uri="http://schemas.openxmlformats.org/drawingml/2006/picture">
                <pic:pic>
                  <pic:nvPicPr>
                    <pic:cNvPr id="0" name="image33.png"/>
                    <pic:cNvPicPr preferRelativeResize="0"/>
                  </pic:nvPicPr>
                  <pic:blipFill>
                    <a:blip r:embed="rId57"/>
                    <a:srcRect b="0" l="0" r="0" t="0"/>
                    <a:stretch>
                      <a:fillRect/>
                    </a:stretch>
                  </pic:blipFill>
                  <pic:spPr>
                    <a:xfrm>
                      <a:off x="0" y="0"/>
                      <a:ext cx="169962" cy="245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。在预测阶段，再将用户最终嵌入 </w:t>
      </w:r>
      <w:r w:rsidDel="00000000" w:rsidR="00000000" w:rsidRPr="00000000">
        <w:rPr>
          <w:rFonts w:ascii="Google Sans" w:cs="Google Sans" w:eastAsia="Google Sans" w:hAnsi="Google Sans"/>
          <w:color w:val="1f1f1f"/>
        </w:rPr>
        <w:drawing>
          <wp:inline distB="19050" distT="19050" distL="19050" distR="19050">
            <wp:extent cx="169962" cy="245501"/>
            <wp:effectExtent b="0" l="0" r="0" t="0"/>
            <wp:docPr id="39" name="image33.png"/>
            <a:graphic>
              <a:graphicData uri="http://schemas.openxmlformats.org/drawingml/2006/picture">
                <pic:pic>
                  <pic:nvPicPr>
                    <pic:cNvPr id="0" name="image33.png"/>
                    <pic:cNvPicPr preferRelativeResize="0"/>
                  </pic:nvPicPr>
                  <pic:blipFill>
                    <a:blip r:embed="rId57"/>
                    <a:srcRect b="0" l="0" r="0" t="0"/>
                    <a:stretch>
                      <a:fillRect/>
                    </a:stretch>
                  </pic:blipFill>
                  <pic:spPr>
                    <a:xfrm>
                      <a:off x="0" y="0"/>
                      <a:ext cx="169962" cy="245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与物品的最终嵌入 </w:t>
      </w:r>
      <w:r w:rsidDel="00000000" w:rsidR="00000000" w:rsidRPr="00000000">
        <w:rPr>
          <w:rFonts w:ascii="Google Sans" w:cs="Google Sans" w:eastAsia="Google Sans" w:hAnsi="Google Sans"/>
          <w:color w:val="1f1f1f"/>
        </w:rPr>
        <w:drawing>
          <wp:inline distB="19050" distT="19050" distL="19050" distR="19050">
            <wp:extent cx="165299" cy="257866"/>
            <wp:effectExtent b="0" l="0" r="0" t="0"/>
            <wp:docPr id="40"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165299" cy="2578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拼接后输入预测用MLP得到预估评分 </w:t>
      </w:r>
      <w:r w:rsidDel="00000000" w:rsidR="00000000" w:rsidRPr="00000000">
        <w:rPr>
          <w:rFonts w:ascii="Google Sans" w:cs="Google Sans" w:eastAsia="Google Sans" w:hAnsi="Google Sans"/>
          <w:color w:val="1f1f1f"/>
        </w:rPr>
        <w:drawing>
          <wp:inline distB="19050" distT="19050" distL="19050" distR="19050">
            <wp:extent cx="308372" cy="250552"/>
            <wp:effectExtent b="0" l="0" r="0" t="0"/>
            <wp:docPr id="42" name="image38.png"/>
            <a:graphic>
              <a:graphicData uri="http://schemas.openxmlformats.org/drawingml/2006/picture">
                <pic:pic>
                  <pic:nvPicPr>
                    <pic:cNvPr id="0" name="image38.png"/>
                    <pic:cNvPicPr preferRelativeResize="0"/>
                  </pic:nvPicPr>
                  <pic:blipFill>
                    <a:blip r:embed="rId59"/>
                    <a:srcRect b="0" l="0" r="0" t="0"/>
                    <a:stretch>
                      <a:fillRect/>
                    </a:stretch>
                  </pic:blipFill>
                  <pic:spPr>
                    <a:xfrm>
                      <a:off x="0" y="0"/>
                      <a:ext cx="308372" cy="25055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。消融实验（Ablation Studies）明确显示，缺少物品注意力或社交注意力（如 GraphRec-</w:t>
      </w:r>
      <w:r w:rsidDel="00000000" w:rsidR="00000000" w:rsidRPr="00000000">
        <w:rPr>
          <w:rFonts w:ascii="Google Sans" w:cs="Google Sans" w:eastAsia="Google Sans" w:hAnsi="Google Sans"/>
          <w:color w:val="1f1f1f"/>
        </w:rPr>
        <w:drawing>
          <wp:inline distB="19050" distT="19050" distL="19050" distR="19050">
            <wp:extent cx="126107" cy="258852"/>
            <wp:effectExtent b="0" l="0" r="0" t="0"/>
            <wp:docPr id="44" name="image60.png"/>
            <a:graphic>
              <a:graphicData uri="http://schemas.openxmlformats.org/drawingml/2006/picture">
                <pic:pic>
                  <pic:nvPicPr>
                    <pic:cNvPr id="0" name="image60.png"/>
                    <pic:cNvPicPr preferRelativeResize="0"/>
                  </pic:nvPicPr>
                  <pic:blipFill>
                    <a:blip r:embed="rId60"/>
                    <a:srcRect b="0" l="0" r="0" t="0"/>
                    <a:stretch>
                      <a:fillRect/>
                    </a:stretch>
                  </pic:blipFill>
                  <pic:spPr>
                    <a:xfrm>
                      <a:off x="0" y="0"/>
                      <a:ext cx="126107" cy="258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&amp;</w:t>
      </w:r>
      <w:r w:rsidDel="00000000" w:rsidR="00000000" w:rsidRPr="00000000">
        <w:rPr>
          <w:rFonts w:ascii="Google Sans" w:cs="Google Sans" w:eastAsia="Google Sans" w:hAnsi="Google Sans"/>
          <w:color w:val="1f1f1f"/>
        </w:rPr>
        <w:drawing>
          <wp:inline distB="19050" distT="19050" distL="19050" distR="19050">
            <wp:extent cx="121246" cy="248873"/>
            <wp:effectExtent b="0" l="0" r="0" t="0"/>
            <wp:docPr id="46"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121246" cy="248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变体）会使得模型陷入噪声过拟合，导致评估指标如 RMSE 与 MAE 显著下降</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高阶社会影响力的递归扩散网络：DiffNet与DiffNet++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虽然GraphRec成功引入了GNN机制，但它主要聚焦于一阶邻居的精细化加权聚合。在真实的社会传播学机制中，信息和偏好的流动是一个具有时间跨度和深度的</w:t>
      </w:r>
      <w:r w:rsidDel="00000000" w:rsidR="00000000" w:rsidRPr="00000000">
        <w:rPr>
          <w:rFonts w:ascii="Google Sans" w:cs="Google Sans" w:eastAsia="Google Sans" w:hAnsi="Google Sans"/>
          <w:b w:val="1"/>
          <w:bCs w:val="1"/>
          <w:color w:val="1f1f1f"/>
          <w:rtl w:val="0"/>
        </w:rPr>
        <w:t xml:space="preserve">扩散过程（Diffusion Process）</w:t>
      </w:r>
      <w:r w:rsidDel="00000000" w:rsidR="00000000" w:rsidRPr="00000000">
        <w:rPr>
          <w:rFonts w:ascii="Google Sans" w:cs="Google Sans" w:eastAsia="Google Sans" w:hAnsi="Google Sans"/>
          <w:color w:val="1f1f1f"/>
          <w:rtl w:val="0"/>
        </w:rPr>
        <w:t xml:space="preserve">。例如，某个冷门商品的口碑可能经过用户 </w:t>
      </w:r>
      <w:r w:rsidDel="00000000" w:rsidR="00000000" w:rsidRPr="00000000">
        <w:rPr>
          <w:rFonts w:ascii="Google Sans" w:cs="Google Sans" w:eastAsia="Google Sans" w:hAnsi="Google Sans"/>
          <w:color w:val="1f1f1f"/>
        </w:rPr>
        <w:drawing>
          <wp:inline distB="19050" distT="19050" distL="19050" distR="19050">
            <wp:extent cx="1541259" cy="247363"/>
            <wp:effectExtent b="0" l="0" r="0" t="0"/>
            <wp:docPr id="48"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1541259" cy="247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的长路径链路传播</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针对此，DiffNet 提出了一种层级式影响力扩散的神经网络结构。其核心思想是，模拟偏好在社交图谱中不断深化的随机游走或信息传递。在算法中，第 </w:t>
      </w:r>
      <w:r w:rsidDel="00000000" w:rsidR="00000000" w:rsidRPr="00000000">
        <w:rPr>
          <w:rFonts w:ascii="Google Sans" w:cs="Google Sans" w:eastAsia="Google Sans" w:hAnsi="Google Sans"/>
          <w:color w:val="1f1f1f"/>
        </w:rPr>
        <w:drawing>
          <wp:inline distB="19050" distT="19050" distL="19050" distR="19050">
            <wp:extent cx="108248" cy="263854"/>
            <wp:effectExtent b="0" l="0" r="0" t="0"/>
            <wp:docPr id="50"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108248" cy="263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层的用户特征 </w:t>
      </w:r>
      <w:r w:rsidDel="00000000" w:rsidR="00000000" w:rsidRPr="00000000">
        <w:rPr>
          <w:rFonts w:ascii="Google Sans" w:cs="Google Sans" w:eastAsia="Google Sans" w:hAnsi="Google Sans"/>
          <w:color w:val="1f1f1f"/>
        </w:rPr>
        <w:drawing>
          <wp:inline distB="19050" distT="19050" distL="19050" distR="19050">
            <wp:extent cx="305097" cy="273316"/>
            <wp:effectExtent b="0" l="0" r="0" t="0"/>
            <wp:docPr id="52"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305097" cy="273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由其上一层 </w:t>
      </w:r>
      <w:r w:rsidDel="00000000" w:rsidR="00000000" w:rsidRPr="00000000">
        <w:rPr>
          <w:rFonts w:ascii="Google Sans" w:cs="Google Sans" w:eastAsia="Google Sans" w:hAnsi="Google Sans"/>
          <w:color w:val="1f1f1f"/>
        </w:rPr>
        <w:drawing>
          <wp:inline distB="19050" distT="19050" distL="19050" distR="19050">
            <wp:extent cx="445691" cy="248314"/>
            <wp:effectExtent b="0" l="0" r="0" t="0"/>
            <wp:docPr id="36"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445691" cy="248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层的自身特征，以及其一阶信任好友在 </w:t>
      </w:r>
      <w:r w:rsidDel="00000000" w:rsidR="00000000" w:rsidRPr="00000000">
        <w:rPr>
          <w:rFonts w:ascii="Google Sans" w:cs="Google Sans" w:eastAsia="Google Sans" w:hAnsi="Google Sans"/>
          <w:color w:val="1f1f1f"/>
        </w:rPr>
        <w:drawing>
          <wp:inline distB="19050" distT="19050" distL="19050" distR="19050">
            <wp:extent cx="445691" cy="248314"/>
            <wp:effectExtent b="0" l="0" r="0" t="0"/>
            <wp:docPr id="37"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445691" cy="248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层的特征进行图卷积融合而来。通过这种递归结构，只需进行 </w:t>
      </w:r>
      <w:r w:rsidDel="00000000" w:rsidR="00000000" w:rsidRPr="00000000">
        <w:rPr>
          <w:rFonts w:ascii="Google Sans" w:cs="Google Sans" w:eastAsia="Google Sans" w:hAnsi="Google Sans"/>
          <w:color w:val="1f1f1f"/>
        </w:rPr>
        <w:drawing>
          <wp:inline distB="19050" distT="19050" distL="19050" distR="19050">
            <wp:extent cx="180380" cy="251243"/>
            <wp:effectExtent b="0" l="0" r="0" t="0"/>
            <wp:docPr id="18"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80380" cy="25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次信息传递，模型就能无缝涵盖所有距离目标用户 </w:t>
      </w:r>
      <w:r w:rsidDel="00000000" w:rsidR="00000000" w:rsidRPr="00000000">
        <w:rPr>
          <w:rFonts w:ascii="Google Sans" w:cs="Google Sans" w:eastAsia="Google Sans" w:hAnsi="Google Sans"/>
          <w:color w:val="1f1f1f"/>
        </w:rPr>
        <w:drawing>
          <wp:inline distB="19050" distT="19050" distL="19050" distR="19050">
            <wp:extent cx="180380" cy="251243"/>
            <wp:effectExtent b="0" l="0" r="0" t="0"/>
            <wp:docPr id="19"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80380" cy="25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跳以内的高阶关系</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DiffNet++ 进一步打破了社交图与兴趣图割裂的状况，构建了一个统一的异构图谱。在每一层扩散中，用户不仅接受社交朋友的影响，还跨视图（Cross-view）地接收用户-物品连边传递回来的高阶协同过滤信号：</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2113"/>
            <wp:effectExtent b="0" l="0" r="0" t="0"/>
            <wp:docPr id="21" name="image20.png"/>
            <a:graphic>
              <a:graphicData uri="http://schemas.openxmlformats.org/drawingml/2006/picture">
                <pic:pic>
                  <pic:nvPicPr>
                    <pic:cNvPr id="0" name="image20.png"/>
                    <pic:cNvPicPr preferRelativeResize="0"/>
                  </pic:nvPicPr>
                  <pic:blipFill>
                    <a:blip r:embed="rId64"/>
                    <a:srcRect b="0" l="0" r="0" t="0"/>
                    <a:stretch>
                      <a:fillRect/>
                    </a:stretch>
                  </pic:blipFill>
                  <pic:spPr>
                    <a:xfrm>
                      <a:off x="0" y="0"/>
                      <a:ext cx="5905500" cy="62211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此机制允许协同信息和社交信息在迭代中相互强化，大幅度缓解了冷启动用户因初始特征匮乏而无法进入协同过滤循环的困境</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。类似地，LightGCN 与 SocialLGN 等后续演进模型证明了，在巨型规模的稀疏交互图中，舍弃GNN中冗杂的特征变换（Weight Matrices）和非线性激活函数（Non-linear Activations），仅仅保留简单的层级邻居均值聚合（Neighborhood Aggregation），反而能够避免特征过度平滑（Over-smoothing），极大提升模型的训练效率与在大规模长尾分布上的泛化能力</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对比学习与InfoNCE：社交推荐的自监督范式转移</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图神经网络大幅提升了表示学习的维度，但其对图结构本身的数据质量极其敏感。在真实在线平台中，图数据存在巨大的缺陷：社交连边往往充斥着无关的“弱连接”或“假阳性”（即互相关注但毫无共性）；反之，隐式交互（点击、浏览）中也存在大量因好奇驱动的噪声。因此，如果GNN盲目地聚合所有拓扑连接，极易发生表征污染（Representation Degradation）。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为了应对上述挑战，对比学习（Contrastive Learning, CL）作为一种新兴的自监督学习（Self-Supervised Learning, SSL）技术被强势引入社交推荐领域</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。对比学习通过不需要人工标注标签的方式，发掘数据内在的分布规律，有效校准图节点的表示向量。</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互信息最大化与 InfoNCE 损失机理</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在推荐系统的对比学习中，核心思想是对同一实例（如某个用户或物品节点）施加不同的数据增强（Data Augmentation，例如图节点丢弃 Node Dropout、边缘微扰 Edge Perturbation 或随机游走），从而构建出多个不同的增强视图（Views）。模型通过最大化正样本对（同一个用户的两个不同视图）的表征相似度，同时最小化与批次内负样本（其他无关用户）的相似度，促使模型捕获对噪声不变的核心语义</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在此过程中，</w:t>
      </w:r>
      <w:r w:rsidDel="00000000" w:rsidR="00000000" w:rsidRPr="00000000">
        <w:rPr>
          <w:rFonts w:ascii="Google Sans" w:cs="Google Sans" w:eastAsia="Google Sans" w:hAnsi="Google Sans"/>
          <w:b w:val="1"/>
          <w:bCs w:val="1"/>
          <w:color w:val="1f1f1f"/>
          <w:rtl w:val="0"/>
        </w:rPr>
        <w:t xml:space="preserve">InfoNCE（Noise Contrastive Estimation）</w:t>
      </w:r>
      <w:r w:rsidDel="00000000" w:rsidR="00000000" w:rsidRPr="00000000">
        <w:rPr>
          <w:rFonts w:ascii="Google Sans" w:cs="Google Sans" w:eastAsia="Google Sans" w:hAnsi="Google Sans"/>
          <w:color w:val="1f1f1f"/>
          <w:rtl w:val="0"/>
        </w:rPr>
        <w:t xml:space="preserve"> 损失函数及其变体成为了事实上的算法内核</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。令 </w:t>
      </w:r>
      <w:r w:rsidDel="00000000" w:rsidR="00000000" w:rsidRPr="00000000">
        <w:rPr>
          <w:rFonts w:ascii="Google Sans" w:cs="Google Sans" w:eastAsia="Google Sans" w:hAnsi="Google Sans"/>
          <w:color w:val="1f1f1f"/>
        </w:rPr>
        <w:drawing>
          <wp:inline distB="19050" distT="19050" distL="19050" distR="19050">
            <wp:extent cx="153094" cy="248778"/>
            <wp:effectExtent b="0" l="0" r="0" t="0"/>
            <wp:docPr id="23" name="image32.png"/>
            <a:graphic>
              <a:graphicData uri="http://schemas.openxmlformats.org/drawingml/2006/picture">
                <pic:pic>
                  <pic:nvPicPr>
                    <pic:cNvPr id="0" name="image32.png"/>
                    <pic:cNvPicPr preferRelativeResize="0"/>
                  </pic:nvPicPr>
                  <pic:blipFill>
                    <a:blip r:embed="rId65"/>
                    <a:srcRect b="0" l="0" r="0" t="0"/>
                    <a:stretch>
                      <a:fillRect/>
                    </a:stretch>
                  </pic:blipFill>
                  <pic:spPr>
                    <a:xfrm>
                      <a:off x="0" y="0"/>
                      <a:ext cx="153094" cy="248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表示目标节点的锚点（Anchor）表征，</w:t>
      </w:r>
      <w:r w:rsidDel="00000000" w:rsidR="00000000" w:rsidRPr="00000000">
        <w:rPr>
          <w:rFonts w:ascii="Google Sans" w:cs="Google Sans" w:eastAsia="Google Sans" w:hAnsi="Google Sans"/>
          <w:color w:val="1f1f1f"/>
        </w:rPr>
        <w:drawing>
          <wp:inline distB="19050" distT="19050" distL="19050" distR="19050">
            <wp:extent cx="233561" cy="246186"/>
            <wp:effectExtent b="0" l="0" r="0" t="0"/>
            <wp:docPr id="25"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233561" cy="2461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表示其对应的正样本表征，</w:t>
      </w:r>
      <w:r w:rsidDel="00000000" w:rsidR="00000000" w:rsidRPr="00000000">
        <w:rPr>
          <w:rFonts w:ascii="Google Sans" w:cs="Google Sans" w:eastAsia="Google Sans" w:hAnsi="Google Sans"/>
          <w:color w:val="1f1f1f"/>
        </w:rPr>
        <w:drawing>
          <wp:inline distB="19050" distT="19050" distL="19050" distR="19050">
            <wp:extent cx="679053" cy="256247"/>
            <wp:effectExtent b="0" l="0" r="0" t="0"/>
            <wp:docPr id="27"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679053" cy="2562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表示 </w:t>
      </w:r>
      <w:r w:rsidDel="00000000" w:rsidR="00000000" w:rsidRPr="00000000">
        <w:rPr>
          <w:rFonts w:ascii="Google Sans" w:cs="Google Sans" w:eastAsia="Google Sans" w:hAnsi="Google Sans"/>
          <w:color w:val="1f1f1f"/>
        </w:rPr>
        <w:drawing>
          <wp:inline distB="19050" distT="19050" distL="19050" distR="19050">
            <wp:extent cx="180380" cy="251243"/>
            <wp:effectExtent b="0" l="0" r="0" t="0"/>
            <wp:docPr id="29"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80380" cy="25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个批量内采样的负样本表征，则基于批次的经典 InfoNCE 损失可表示为：</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86790"/>
            <wp:effectExtent b="0" l="0" r="0" t="0"/>
            <wp:docPr id="31"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5905500" cy="78679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440531" cy="248996"/>
            <wp:effectExtent b="0" l="0" r="0" t="0"/>
            <wp:docPr id="15" name="image10.png"/>
            <a:graphic>
              <a:graphicData uri="http://schemas.openxmlformats.org/drawingml/2006/picture">
                <pic:pic>
                  <pic:nvPicPr>
                    <pic:cNvPr id="0" name="image10.png"/>
                    <pic:cNvPicPr preferRelativeResize="0"/>
                  </pic:nvPicPr>
                  <pic:blipFill>
                    <a:blip r:embed="rId69"/>
                    <a:srcRect b="0" l="0" r="0" t="0"/>
                    <a:stretch>
                      <a:fillRect/>
                    </a:stretch>
                  </pic:blipFill>
                  <pic:spPr>
                    <a:xfrm>
                      <a:off x="0" y="0"/>
                      <a:ext cx="440531" cy="248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为余弦相似度函数，</w:t>
      </w:r>
      <w:r w:rsidDel="00000000" w:rsidR="00000000" w:rsidRPr="00000000">
        <w:rPr>
          <w:rFonts w:ascii="Google Sans" w:cs="Google Sans" w:eastAsia="Google Sans" w:hAnsi="Google Sans"/>
          <w:color w:val="1f1f1f"/>
        </w:rPr>
        <w:drawing>
          <wp:inline distB="19050" distT="19050" distL="19050" distR="19050">
            <wp:extent cx="107752" cy="262644"/>
            <wp:effectExtent b="0" l="0" r="0" t="0"/>
            <wp:docPr id="16" name="image31.png"/>
            <a:graphic>
              <a:graphicData uri="http://schemas.openxmlformats.org/drawingml/2006/picture">
                <pic:pic>
                  <pic:nvPicPr>
                    <pic:cNvPr id="0" name="image31.png"/>
                    <pic:cNvPicPr preferRelativeResize="0"/>
                  </pic:nvPicPr>
                  <pic:blipFill>
                    <a:blip r:embed="rId70"/>
                    <a:srcRect b="0" l="0" r="0" t="0"/>
                    <a:stretch>
                      <a:fillRect/>
                    </a:stretch>
                  </pic:blipFill>
                  <pic:spPr>
                    <a:xfrm>
                      <a:off x="0" y="0"/>
                      <a:ext cx="107752" cy="262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（Temperature）是至关重要的温度系数，用于控制模型对待“困难负样本”（Hard Negatives）的惩罚灵敏度</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从深度数学与互信息下界的视角来看，Wang与Isola等人揭示了InfoNCE损失本质上在优化两个核心几何特性：</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对齐性（Alignment）</w:t>
      </w:r>
      <w:r w:rsidDel="00000000" w:rsidR="00000000" w:rsidRPr="00000000">
        <w:rPr>
          <w:rFonts w:ascii="Google Sans" w:cs="Google Sans" w:eastAsia="Google Sans" w:hAnsi="Google Sans"/>
          <w:color w:val="1f1f1f"/>
          <w:rtl w:val="0"/>
        </w:rPr>
        <w:t xml:space="preserve">：通过最大化正样本对的内积，促使相似节点的隐向量在超球面上无限靠拢。</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均匀性（Uniformity）</w:t>
      </w:r>
      <w:r w:rsidDel="00000000" w:rsidR="00000000" w:rsidRPr="00000000">
        <w:rPr>
          <w:rFonts w:ascii="Google Sans" w:cs="Google Sans" w:eastAsia="Google Sans" w:hAnsi="Google Sans"/>
          <w:color w:val="1f1f1f"/>
          <w:rtl w:val="0"/>
        </w:rPr>
        <w:t xml:space="preserve">：通过排斥所有随机采样的负样本对，强制所有节点均匀地散布在单位超球面上，从根本上防止了“模式坍塌”（Mode/Feature Collapse）即所有表示向量收敛于同一点的隐患</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然而，这引发了社交推荐中著名的“均匀-容忍困境”（Uniformity-Tolerance Dilemma）</w:t>
      </w:r>
      <w:r w:rsidDel="00000000" w:rsidR="00000000" w:rsidRPr="00000000">
        <w:rPr>
          <w:rFonts w:ascii="Google Sans" w:cs="Google Sans" w:eastAsia="Google Sans" w:hAnsi="Google Sans"/>
          <w:b w:val="1"/>
          <w:bCs w:val="1"/>
          <w:color w:val="1f1f1f"/>
          <w:rtl w:val="0"/>
        </w:rPr>
        <w:t xml:space="preserve">。随着负样本数量 </w:t>
      </w:r>
      <w:r w:rsidDel="00000000" w:rsidR="00000000" w:rsidRPr="00000000">
        <w:rPr>
          <w:rFonts w:ascii="Google Sans" w:cs="Google Sans" w:eastAsia="Google Sans" w:hAnsi="Google Sans"/>
          <w:b w:val="1"/>
          <w:bCs w:val="1"/>
          <w:color w:val="1f1f1f"/>
        </w:rPr>
        <w:drawing>
          <wp:inline distB="19050" distT="19050" distL="19050" distR="19050">
            <wp:extent cx="180380" cy="251243"/>
            <wp:effectExtent b="0" l="0" r="0" t="0"/>
            <wp:docPr id="17"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80380" cy="25124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或温度惩罚的增加，InfoNCE 会盲目地将所有不同节点推远。但在社交网络中，这往往会产生致命的</w:t>
      </w:r>
      <w:r w:rsidDel="00000000" w:rsidR="00000000" w:rsidRPr="00000000">
        <w:rPr>
          <w:rFonts w:ascii="Google Sans" w:cs="Google Sans" w:eastAsia="Google Sans" w:hAnsi="Google Sans"/>
          <w:color w:val="1f1f1f"/>
          <w:rtl w:val="0"/>
        </w:rPr>
        <w:t xml:space="preserve">假阴性（False Negatives）错误——在负样本中，极有可能随机抽样到了与目标用户具有强烈共同兴趣的好友节点，盲目推远他们将破坏珍贵的社会同质性，使得模型泛化性能下降</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域解耦表示与多视图交叉对比（Cross-View CL）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为克服上述问题，研究人员提出了更符合社交特性的高级对比学习框架，核心机制在于将对比限制在多维语义域中。</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域解耦（Domain Disentangling）</w:t>
      </w:r>
      <w:r w:rsidDel="00000000" w:rsidR="00000000" w:rsidRPr="00000000">
        <w:rPr>
          <w:rFonts w:ascii="Google Sans" w:cs="Google Sans" w:eastAsia="Google Sans" w:hAnsi="Google Sans"/>
          <w:color w:val="1f1f1f"/>
          <w:rtl w:val="0"/>
        </w:rPr>
        <w:t xml:space="preserve">：以 DcRec 模型为例，该框架认为用户在社交域（交朋友）与协同域（买商品）的行为动机具有高度异构性（Heterogeneous Behavior Patterns）。因此，DcRec 不混合聚合，而是利用域编码器分别学习解耦的特征表达，然后应用解耦对比学习（Disentangled Contrastive Learning），作为知识蒸馏的桥梁，使社交域的知识平滑地向协同域转移，而避免强制特征向量直接杂糅</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跨视图对齐机制（Cross-View Alignment）</w:t>
      </w:r>
      <w:r w:rsidDel="00000000" w:rsidR="00000000" w:rsidRPr="00000000">
        <w:rPr>
          <w:rFonts w:ascii="Google Sans" w:cs="Google Sans" w:eastAsia="Google Sans" w:hAnsi="Google Sans"/>
          <w:color w:val="1f1f1f"/>
          <w:rtl w:val="0"/>
        </w:rPr>
        <w:t xml:space="preserve">：进一步地，MultiCSR 提出了一种统一多视图对比框架。模型同时构建基于社交连边的用户图、基于属性的物品语义图、以及交互二分图。经过各自独立的GNN编码后，模型在损失层级实施交叉验证</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。以用户为例，假设从社交网络获得表征 </w:t>
      </w:r>
      <w:r w:rsidDel="00000000" w:rsidR="00000000" w:rsidRPr="00000000">
        <w:rPr>
          <w:rFonts w:ascii="Google Sans" w:cs="Google Sans" w:eastAsia="Google Sans" w:hAnsi="Google Sans"/>
          <w:color w:val="1f1f1f"/>
        </w:rPr>
        <w:drawing>
          <wp:inline distB="19050" distT="19050" distL="19050" distR="19050">
            <wp:extent cx="463054" cy="247385"/>
            <wp:effectExtent b="0" l="0" r="0" t="0"/>
            <wp:docPr id="1" name="image7.png"/>
            <a:graphic>
              <a:graphicData uri="http://schemas.openxmlformats.org/drawingml/2006/picture">
                <pic:pic>
                  <pic:nvPicPr>
                    <pic:cNvPr id="0" name="image7.png"/>
                    <pic:cNvPicPr preferRelativeResize="0"/>
                  </pic:nvPicPr>
                  <pic:blipFill>
                    <a:blip r:embed="rId71"/>
                    <a:srcRect b="0" l="0" r="0" t="0"/>
                    <a:stretch>
                      <a:fillRect/>
                    </a:stretch>
                  </pic:blipFill>
                  <pic:spPr>
                    <a:xfrm>
                      <a:off x="0" y="0"/>
                      <a:ext cx="463054" cy="247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，从交互图获得表征 </w:t>
      </w:r>
      <w:r w:rsidDel="00000000" w:rsidR="00000000" w:rsidRPr="00000000">
        <w:rPr>
          <w:rFonts w:ascii="Google Sans" w:cs="Google Sans" w:eastAsia="Google Sans" w:hAnsi="Google Sans"/>
          <w:color w:val="1f1f1f"/>
        </w:rPr>
        <w:drawing>
          <wp:inline distB="19050" distT="19050" distL="19050" distR="19050">
            <wp:extent cx="795834" cy="246329"/>
            <wp:effectExtent b="0" l="0" r="0" t="0"/>
            <wp:docPr id="3"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795834" cy="246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，此时正样本不是随机增强产生的，而是跨越了物理视图；负样本则受约束地进行抽样。其互增强损失为：</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95939"/>
            <wp:effectExtent b="0" l="0" r="0" t="0"/>
            <wp:docPr id="5" name="image4.png"/>
            <a:graphic>
              <a:graphicData uri="http://schemas.openxmlformats.org/drawingml/2006/picture">
                <pic:pic>
                  <pic:nvPicPr>
                    <pic:cNvPr id="0" name="image4.png"/>
                    <pic:cNvPicPr preferRelativeResize="0"/>
                  </pic:nvPicPr>
                  <pic:blipFill>
                    <a:blip r:embed="rId73"/>
                    <a:srcRect b="0" l="0" r="0" t="0"/>
                    <a:stretch>
                      <a:fillRect/>
                    </a:stretch>
                  </pic:blipFill>
                  <pic:spPr>
                    <a:xfrm>
                      <a:off x="0" y="0"/>
                      <a:ext cx="5905500" cy="79593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通过将 </w:t>
      </w:r>
      <w:r w:rsidDel="00000000" w:rsidR="00000000" w:rsidRPr="00000000">
        <w:rPr>
          <w:rFonts w:ascii="Google Sans" w:cs="Google Sans" w:eastAsia="Google Sans" w:hAnsi="Google Sans"/>
          <w:color w:val="1f1f1f"/>
        </w:rPr>
        <w:drawing>
          <wp:inline distB="19050" distT="19050" distL="19050" distR="19050">
            <wp:extent cx="346075" cy="237125"/>
            <wp:effectExtent b="0" l="0" r="0" t="0"/>
            <wp:docPr id="7"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346075" cy="237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与传统的 BPR（Bayesian Personalized Ranking）主损失相加联合训练，这些自监督模型不仅在数据高度稀疏的长尾分布上获得了显著的性能飞跃，还凭借降噪机制赋予了嵌入向量更强的抗干扰鲁棒性</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。进一步的研究，如 MINE+ 和 Debiased CCL 模型，更是从概率互信息的根源上，引入了无偏性（Debiased）采样平衡系数，在数学上彻底消除了假阴性带来的梯度偏差</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大语言模型（LLMs）赋能的新时代社交推荐</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尽管GNN配合对比学习已经将网络结构的挖掘推向了机制，但它们仍然陷入了一种“ID依赖范式”（ID-based Paradigm）的根本桎梏中。传统模型中的节点（无论是用户还是物品）仅仅是一个独热编码（One-hot）后的数字ID，脱离了其背后的自然语言语境（如用户的长文本评论、电影的语义简介、社交平台上的多模态对话）。随着以GPT系列为代表的大语言模型（Large Language Models, LLMs）展现出史无前例的常识推理（Reasoning）与零样本泛化能力，推荐系统终于迎来了基于模态特征融合的认知级升级</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自然语言驱动的图增强机制（LLMRec）</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利用大规模文本语料预训练的LLMs包含了关于大千世界极为丰富的参数化知识（Parametric Knowledge）。针对推荐图谱中存在的“隐式反馈过于稀疏”与“节点侧信息低质量”的问题，学术界提出了 </w:t>
      </w:r>
      <w:r w:rsidDel="00000000" w:rsidR="00000000" w:rsidRPr="00000000">
        <w:rPr>
          <w:rFonts w:ascii="Google Sans" w:cs="Google Sans" w:eastAsia="Google Sans" w:hAnsi="Google Sans"/>
          <w:b w:val="1"/>
          <w:bCs w:val="1"/>
          <w:color w:val="1f1f1f"/>
          <w:rtl w:val="0"/>
        </w:rPr>
        <w:t xml:space="preserve">LLMRec</w:t>
      </w:r>
      <w:r w:rsidDel="00000000" w:rsidR="00000000" w:rsidRPr="00000000">
        <w:rPr>
          <w:rFonts w:ascii="Google Sans" w:cs="Google Sans" w:eastAsia="Google Sans" w:hAnsi="Google Sans"/>
          <w:color w:val="1f1f1f"/>
          <w:rtl w:val="0"/>
        </w:rPr>
        <w:t xml:space="preserve"> 等图数据增强框架</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在该范式下，LLM 并不直接负责推荐打分，而是作为“知识引擎”对输入的GNN底层图结构进行重塑和增强：</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交互拓扑强化（Reinforcing User-item Edges）</w:t>
      </w:r>
      <w:r w:rsidDel="00000000" w:rsidR="00000000" w:rsidRPr="00000000">
        <w:rPr>
          <w:rFonts w:ascii="Google Sans" w:cs="Google Sans" w:eastAsia="Google Sans" w:hAnsi="Google Sans"/>
          <w:color w:val="1f1f1f"/>
          <w:rtl w:val="0"/>
        </w:rPr>
        <w:t xml:space="preserve">：利用提示工程（Prompting），将用户在社交网络上的历史互动文本送入 LLM 进行倾向性推理。即使在图中两节点并未连接，LLM也能敏锐捕捉到隐含意图，指示算法在此处增加一条加权概率边，从而极大丰富交互图的连通性。</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节点属性重构（Enhancing Item Attributes）</w:t>
      </w:r>
      <w:r w:rsidDel="00000000" w:rsidR="00000000" w:rsidRPr="00000000">
        <w:rPr>
          <w:rFonts w:ascii="Google Sans" w:cs="Google Sans" w:eastAsia="Google Sans" w:hAnsi="Google Sans"/>
          <w:color w:val="1f1f1f"/>
          <w:rtl w:val="0"/>
        </w:rPr>
        <w:t xml:space="preserve">：由于物品类别、标签经常不完整，LLM 可以通过庞大的先验词库，对物品进行多维度的跨域特征对齐，输出高维稠密的文本特征嵌入（Text Embeddings），进而无缝拼接进初始节点的 Embedding 中</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精准用户画像（User Profiling）</w:t>
      </w:r>
      <w:r w:rsidDel="00000000" w:rsidR="00000000" w:rsidRPr="00000000">
        <w:rPr>
          <w:rFonts w:ascii="Google Sans" w:cs="Google Sans" w:eastAsia="Google Sans" w:hAnsi="Google Sans"/>
          <w:color w:val="1f1f1f"/>
          <w:rtl w:val="0"/>
        </w:rPr>
        <w:t xml:space="preserve">：借由 LLM 强大的理解能力，整合用户散落的隐式特征（如注册信息、社交群组关联），以自然语言的直观逻辑总结其核心兴趣，克服了纯ID表示下冷启动难以训练的死结</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协作权重提取与大模型内部参数对齐（LLM-SocRec）</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 LLM 语义理解能力出众，但在实际海量用户工业级部署中，完全依靠 LLM 实时生成推荐结果（Generative Recommendation）会导致灾难性的推理算力开销（Intolerant Inference Costs），且冗长的图结构转译为语言文本会导致上下文长度溢出</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为此，协同大型语言模型（Collaborative LLMs）范式被创新性地提出，例如 </w:t>
      </w:r>
      <w:r w:rsidDel="00000000" w:rsidR="00000000" w:rsidRPr="00000000">
        <w:rPr>
          <w:rFonts w:ascii="Google Sans" w:cs="Google Sans" w:eastAsia="Google Sans" w:hAnsi="Google Sans"/>
          <w:b w:val="1"/>
          <w:bCs w:val="1"/>
          <w:color w:val="1f1f1f"/>
          <w:rtl w:val="0"/>
        </w:rPr>
        <w:t xml:space="preserve">LLM-SocRec</w:t>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b w:val="1"/>
          <w:bCs w:val="1"/>
          <w:color w:val="1f1f1f"/>
          <w:rtl w:val="0"/>
        </w:rPr>
        <w:t xml:space="preserve">LLM-BRec</w:t>
      </w:r>
      <w:r w:rsidDel="00000000" w:rsidR="00000000" w:rsidRPr="00000000">
        <w:rPr>
          <w:rFonts w:ascii="Google Sans" w:cs="Google Sans" w:eastAsia="Google Sans" w:hAnsi="Google Sans"/>
          <w:color w:val="1f1f1f"/>
          <w:rtl w:val="0"/>
        </w:rPr>
        <w:t xml:space="preserve"> 模型。LLM-SocRec 创造性地绕过了将图转为冗长文本的泥沼。具体机制为： 首先，系统利用传统的轻量化图神经网络（如 LightGCN）在用户-物品交互图与用户-用户社交图上进行高速的大规模预计算，提炼出蕴含全局高阶社交拓扑的协同感知特征（Collaborative-aware Embeddings）。 随后，这些嵌入不再通过提示词（Prompt）插入输入端，而是被降维转换，构建为低秩的偏好权重（Low-rank Weights），通过直接注入（Inject）的方式挂载到 LLM 的 Transformer 内部自注意力层和前馈网络层参数上（类似于LoRA/Adapter微调机制）</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这一革命性的操作保留了 GNN 对结构数据处理的高效，又融合了 LLM 的深层语义。此外，借助大模型最新的直接偏好优化（Direct Preference Optimization, DPO）对齐技术，模型能够根据高赞行为和负反馈，微调推荐逻辑。实验结果证明，这一方案在降低时空复杂度的同时，其召回率（Recall）及归一化折损累计增益（NDCG）跨维度地超越了当前所有的传统GNN基线算法</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面临的核心挑战与未来研究展望</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纵观从矩阵分解、图神经网络、对比学习到如今大语言模型的百年更迭，融合社交信息的推荐系统技术不断演化升维。然而，面对真实世界的超级复杂系统，本领域仍面临前沿的科研困境：</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时序与动态图建模的缺失（Dynamic Social Graphs）</w:t>
      </w:r>
      <w:r w:rsidDel="00000000" w:rsidR="00000000" w:rsidRPr="00000000">
        <w:rPr>
          <w:rFonts w:ascii="Google Sans" w:cs="Google Sans" w:eastAsia="Google Sans" w:hAnsi="Google Sans"/>
          <w:color w:val="1f1f1f"/>
          <w:rtl w:val="0"/>
        </w:rPr>
        <w:t xml:space="preserve">： 目前的先进算法，如 GraphRec 和 MultiCSR，绝大多数立足于静态的网络快照（Static View）。然而现实世界中，用户社交链条是高度动态和随时间演变的（如拉黑、取关现象频发）。如何设计具备时间演化感知能力的高效连续动态图神经网络（Continuous-Time Dynamic Graphs），捕捉兴趣的短期漂移和长期演进特征，将是亟待攻克的命题</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推荐系统的公平性与对抗鲁棒性（Fairness &amp; Robustness）</w:t>
      </w:r>
      <w:r w:rsidDel="00000000" w:rsidR="00000000" w:rsidRPr="00000000">
        <w:rPr>
          <w:rFonts w:ascii="Google Sans" w:cs="Google Sans" w:eastAsia="Google Sans" w:hAnsi="Google Sans"/>
          <w:color w:val="1f1f1f"/>
          <w:rtl w:val="0"/>
        </w:rPr>
        <w:t xml:space="preserve">： 高度依赖社交关系的推荐算法不可避免地加剧了“信息茧房”（Filter Bubbles）和长尾效应。此外，基于图传递的消息极易受到针对性的图对抗攻击（Adversarial Attacks）。例如，恶意竞争者只需注入数个虚假的高中心性僵尸节点并模拟虚假交互，GNN 就会将其毒性信息蔓延全网，导致目标预测发生灾难性翻转。构建具备可解释性和抗欺骗能力的“可信人工智能（Trustworthy AI）”已成为重中之重</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对话式、多行为及跨模态泛化（Conversational &amp; Multi-modal Recommendation）</w:t>
      </w:r>
      <w:r w:rsidDel="00000000" w:rsidR="00000000" w:rsidRPr="00000000">
        <w:rPr>
          <w:rFonts w:ascii="Google Sans" w:cs="Google Sans" w:eastAsia="Google Sans" w:hAnsi="Google Sans"/>
          <w:color w:val="1f1f1f"/>
          <w:rtl w:val="0"/>
        </w:rPr>
        <w:t xml:space="preserve">： 未来的交互不仅仅是简单的点击与购买，而是涵盖了浏览、加入购物车、转发、分享等多类型异构行为序列（Multi-behavior Modeling）。此外，随着 LLM 的多模态化（Vision-Language Models），推荐系统将与智能体（Agent/Multi-agent RL Framework）深度绑定，实现可以实时多轮交互对话、同时解析图片、视频和文字的全天候个人社交推荐助理</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结论</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全方位审视了融合社交信息的推荐系统的底层逻辑演进和最新前沿算法。从演化路径来看，技术范式的每一次革新都在解决前代遗留的结构性痛点。最初，概率矩阵分解（PMF）与SoRec、SocialMF开创了社交协同的先河，通过降维和添加信任传播的惩罚项证明了社交图谱在缓解极度稀疏与冷启动现象上的不俗价值；然而其受限于一阶线性的交互表达能力。</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打破局限，研究界大规模引入图神经网络（GNN）。以GraphRec和DiffNet为代表的模型，借助强大的消息传递与自适应多层注意力网络，完美捕捉了图中隐含的高阶协同连通性与社会传播扩散路径，但又随之带来了容易拟合图结构噪声的隐患。为此，互信息最大化驱动的对比学习（Contrastive Learning）登上了舞台。通过域解耦与跨视图对比损失（InfoNCE等），模型在无需人工标注的条件下实现了强大的自监督去偏和提纯，大大增加了网络表征的稳健性。</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到了近两年，大语言模型（LLMs）以无可匹敌的语义理解能力，为图推荐提供了强大的节点属性补全与智能认知推理支持，实现了从符号化结构（Symbolic Structure）向通用认知网络（Cognitive Semantic Network）的最终融合。未来，只有进一步探索动态时序演化与可信AI架构的跨模态结合，才能不断推动推荐系统在海量、混沌的开放世界社交网络中向善向新发展。</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Matrix Factorization in Social Group Recommender Systems | Request PDF - ResearchGate,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https://www.researchgate.net/publication/261449141_Matrix_Factorization_in_Social_Group_Recommender_Systems</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Graph Neural Networks for Social Recommender Systems - arXiv, </w:t>
      </w:r>
      <w:hyperlink r:id="rId76">
        <w:r w:rsidDel="00000000" w:rsidR="00000000" w:rsidRPr="00000000">
          <w:rPr>
            <w:rFonts w:ascii="Google Sans" w:cs="Google Sans" w:eastAsia="Google Sans" w:hAnsi="Google Sans"/>
            <w:color w:val="0000ee"/>
            <w:sz w:val="24"/>
            <w:szCs w:val="24"/>
            <w:u w:val="single"/>
            <w:rtl w:val="0"/>
          </w:rPr>
          <w:t xml:space="preserve">https://arxiv.org/html/2212.04481v3</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Graph-Neural-Network-Based Social Network Recommendation Algorithm Using High-Order Neighbor Information - MDPI, </w:t>
      </w:r>
      <w:hyperlink r:id="rId77">
        <w:r w:rsidDel="00000000" w:rsidR="00000000" w:rsidRPr="00000000">
          <w:rPr>
            <w:rFonts w:ascii="Google Sans" w:cs="Google Sans" w:eastAsia="Google Sans" w:hAnsi="Google Sans"/>
            <w:color w:val="0000ee"/>
            <w:sz w:val="24"/>
            <w:szCs w:val="24"/>
            <w:u w:val="single"/>
            <w:rtl w:val="0"/>
          </w:rPr>
          <w:t xml:space="preserve">https://www.mdpi.com/1424-8220/22/19/7122</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Graph Neural Networks for Recommender Systems: Challenges, Methods, and Directions | alphaXiv, </w:t>
      </w:r>
      <w:hyperlink r:id="rId78">
        <w:r w:rsidDel="00000000" w:rsidR="00000000" w:rsidRPr="00000000">
          <w:rPr>
            <w:rFonts w:ascii="Google Sans" w:cs="Google Sans" w:eastAsia="Google Sans" w:hAnsi="Google Sans"/>
            <w:color w:val="0000ee"/>
            <w:sz w:val="24"/>
            <w:szCs w:val="24"/>
            <w:u w:val="single"/>
            <w:rtl w:val="0"/>
          </w:rPr>
          <w:t xml:space="preserve">https://www.alphaxiv.org/abs/2109.12843v3</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Matrix Factorization with Explicit Trust and Distrust Side Information for Improved Social Recommendation - ASU Engineering, </w:t>
      </w:r>
      <w:hyperlink r:id="rId79">
        <w:r w:rsidDel="00000000" w:rsidR="00000000" w:rsidRPr="00000000">
          <w:rPr>
            <w:rFonts w:ascii="Google Sans" w:cs="Google Sans" w:eastAsia="Google Sans" w:hAnsi="Google Sans"/>
            <w:color w:val="0000ee"/>
            <w:sz w:val="24"/>
            <w:szCs w:val="24"/>
            <w:u w:val="single"/>
            <w:rtl w:val="0"/>
          </w:rPr>
          <w:t xml:space="preserve">https://labs.engineering.asu.edu/sarwat/wp-content/uploads/sites/26/2014/11/a17-forsati.pdf</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Transitivity Aware Matrix Factorization Model for Recommendation in Social Networks - IJCAI, </w:t>
      </w:r>
      <w:hyperlink r:id="rId80">
        <w:r w:rsidDel="00000000" w:rsidR="00000000" w:rsidRPr="00000000">
          <w:rPr>
            <w:rFonts w:ascii="Google Sans" w:cs="Google Sans" w:eastAsia="Google Sans" w:hAnsi="Google Sans"/>
            <w:color w:val="0000ee"/>
            <w:sz w:val="24"/>
            <w:szCs w:val="24"/>
            <w:u w:val="single"/>
            <w:rtl w:val="0"/>
          </w:rPr>
          <w:t xml:space="preserve">https://www.ijcai.org/Proceedings/11/Papers/440.pdf</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matrix factorization technique with trust propagation for recommendation in social networks | Request PDF - ResearchGate, </w:t>
      </w:r>
      <w:hyperlink r:id="rId81">
        <w:r w:rsidDel="00000000" w:rsidR="00000000" w:rsidRPr="00000000">
          <w:rPr>
            <w:rFonts w:ascii="Google Sans" w:cs="Google Sans" w:eastAsia="Google Sans" w:hAnsi="Google Sans"/>
            <w:color w:val="0000ee"/>
            <w:sz w:val="24"/>
            <w:szCs w:val="24"/>
            <w:u w:val="single"/>
            <w:rtl w:val="0"/>
          </w:rPr>
          <w:t xml:space="preserve">https://www.researchgate.net/publication/221141035_A_matrix_factorization_technique_with_trust_propagation_for_recommendation_in_social_networks</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Recommendation Network Model with a Synthesis of Social Matrix Factorization and Link Probability Functions - PMC, </w:t>
      </w:r>
      <w:hyperlink r:id="rId82">
        <w:r w:rsidDel="00000000" w:rsidR="00000000" w:rsidRPr="00000000">
          <w:rPr>
            <w:rFonts w:ascii="Google Sans" w:cs="Google Sans" w:eastAsia="Google Sans" w:hAnsi="Google Sans"/>
            <w:color w:val="0000ee"/>
            <w:sz w:val="24"/>
            <w:szCs w:val="24"/>
            <w:u w:val="single"/>
            <w:rtl w:val="0"/>
          </w:rPr>
          <w:t xml:space="preserve">https://pmc.ncbi.nlm.nih.gov/articles/PMC10007624/</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on Tag, Trust and Probability Matrix Factorization Based Social Network Recommendation, </w:t>
      </w:r>
      <w:hyperlink r:id="rId83">
        <w:r w:rsidDel="00000000" w:rsidR="00000000" w:rsidRPr="00000000">
          <w:rPr>
            <w:rFonts w:ascii="Google Sans" w:cs="Google Sans" w:eastAsia="Google Sans" w:hAnsi="Google Sans"/>
            <w:color w:val="0000ee"/>
            <w:sz w:val="24"/>
            <w:szCs w:val="24"/>
            <w:u w:val="single"/>
            <w:rtl w:val="0"/>
          </w:rPr>
          <w:t xml:space="preserve">https://itiis.org/digital-library/manuscript/file/21757/TIISVol12No5-10.pdf</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Improved Singular Value Decomposition Recommender Algorithm Based on User Trust Relationship Junchi Pan , Xingming Zhang and - Atlantis Press, </w:t>
      </w:r>
      <w:hyperlink r:id="rId84">
        <w:r w:rsidDel="00000000" w:rsidR="00000000" w:rsidRPr="00000000">
          <w:rPr>
            <w:rFonts w:ascii="Google Sans" w:cs="Google Sans" w:eastAsia="Google Sans" w:hAnsi="Google Sans"/>
            <w:color w:val="0000ee"/>
            <w:sz w:val="24"/>
            <w:szCs w:val="24"/>
            <w:u w:val="single"/>
            <w:rtl w:val="0"/>
          </w:rPr>
          <w:t xml:space="preserve">https://www.atlantis-press.com/article/25844405.pdf</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 Enhanced Recommender Systems: A Survey - arXiv, </w:t>
      </w:r>
      <w:hyperlink r:id="rId85">
        <w:r w:rsidDel="00000000" w:rsidR="00000000" w:rsidRPr="00000000">
          <w:rPr>
            <w:rFonts w:ascii="Google Sans" w:cs="Google Sans" w:eastAsia="Google Sans" w:hAnsi="Google Sans"/>
            <w:color w:val="0000ee"/>
            <w:sz w:val="24"/>
            <w:szCs w:val="24"/>
            <w:u w:val="single"/>
            <w:rtl w:val="0"/>
          </w:rPr>
          <w:t xml:space="preserve">https://arxiv.org/html/2412.13432v3</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Evaluation of Matrix Factorization Models for Collaborative Filtering Recommender Systems - Re-UNIR, </w:t>
      </w:r>
      <w:hyperlink r:id="rId86">
        <w:r w:rsidDel="00000000" w:rsidR="00000000" w:rsidRPr="00000000">
          <w:rPr>
            <w:rFonts w:ascii="Google Sans" w:cs="Google Sans" w:eastAsia="Google Sans" w:hAnsi="Google Sans"/>
            <w:color w:val="0000ee"/>
            <w:sz w:val="24"/>
            <w:szCs w:val="24"/>
            <w:u w:val="single"/>
            <w:rtl w:val="0"/>
          </w:rPr>
          <w:t xml:space="preserve">https://reunir.unir.net/bitstreams/5bc83c88-e53d-4182-92a4-defbf02114d2/download</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Matrix Factorization Models for Recommender Systems - IJCAI, </w:t>
      </w:r>
      <w:hyperlink r:id="rId87">
        <w:r w:rsidDel="00000000" w:rsidR="00000000" w:rsidRPr="00000000">
          <w:rPr>
            <w:rFonts w:ascii="Google Sans" w:cs="Google Sans" w:eastAsia="Google Sans" w:hAnsi="Google Sans"/>
            <w:color w:val="0000ee"/>
            <w:sz w:val="24"/>
            <w:szCs w:val="24"/>
            <w:u w:val="single"/>
            <w:rtl w:val="0"/>
          </w:rPr>
          <w:t xml:space="preserve">https://www.ijcai.org/proceedings/2017/0447.pdf</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Weighted Matrix Factorization Recommendation Model Incorporating Social Trust - MDPI, </w:t>
      </w:r>
      <w:hyperlink r:id="rId88">
        <w:r w:rsidDel="00000000" w:rsidR="00000000" w:rsidRPr="00000000">
          <w:rPr>
            <w:rFonts w:ascii="Google Sans" w:cs="Google Sans" w:eastAsia="Google Sans" w:hAnsi="Google Sans"/>
            <w:color w:val="0000ee"/>
            <w:sz w:val="24"/>
            <w:szCs w:val="24"/>
            <w:u w:val="single"/>
            <w:rtl w:val="0"/>
          </w:rPr>
          <w:t xml:space="preserve">https://www.mdpi.com/2076-3417/14/2/879</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 Model Based on Probabilistic Matrix Factorization and Rated Item Relevance - MDPI, </w:t>
      </w:r>
      <w:hyperlink r:id="rId89">
        <w:r w:rsidDel="00000000" w:rsidR="00000000" w:rsidRPr="00000000">
          <w:rPr>
            <w:rFonts w:ascii="Google Sans" w:cs="Google Sans" w:eastAsia="Google Sans" w:hAnsi="Google Sans"/>
            <w:color w:val="0000ee"/>
            <w:sz w:val="24"/>
            <w:szCs w:val="24"/>
            <w:u w:val="single"/>
            <w:rtl w:val="0"/>
          </w:rPr>
          <w:t xml:space="preserve">https://www.mdpi.com/2079-9292/11/24/4160</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on Probabilistic Models of Low-Rank Matrix Factorizations - MDPI, </w:t>
      </w:r>
      <w:hyperlink r:id="rId90">
        <w:r w:rsidDel="00000000" w:rsidR="00000000" w:rsidRPr="00000000">
          <w:rPr>
            <w:rFonts w:ascii="Google Sans" w:cs="Google Sans" w:eastAsia="Google Sans" w:hAnsi="Google Sans"/>
            <w:color w:val="0000ee"/>
            <w:sz w:val="24"/>
            <w:szCs w:val="24"/>
            <w:u w:val="single"/>
            <w:rtl w:val="0"/>
          </w:rPr>
          <w:t xml:space="preserve">https://www.mdpi.com/1099-4300/19/8/424</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Gated Probabilistic Matrix Factorization: Learning Users' Attention from Missing Values - IJCAI, </w:t>
      </w:r>
      <w:hyperlink r:id="rId91">
        <w:r w:rsidDel="00000000" w:rsidR="00000000" w:rsidRPr="00000000">
          <w:rPr>
            <w:rFonts w:ascii="Google Sans" w:cs="Google Sans" w:eastAsia="Google Sans" w:hAnsi="Google Sans"/>
            <w:color w:val="0000ee"/>
            <w:sz w:val="24"/>
            <w:szCs w:val="24"/>
            <w:u w:val="single"/>
            <w:rtl w:val="0"/>
          </w:rPr>
          <w:t xml:space="preserve">https://www.ijcai.org/Proceedings/16/Papers/270.pdf</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SCMF: Sparse Covariance Matrix Factorization for Collaborative Filtering - IJCAI, </w:t>
      </w:r>
      <w:hyperlink r:id="rId92">
        <w:r w:rsidDel="00000000" w:rsidR="00000000" w:rsidRPr="00000000">
          <w:rPr>
            <w:rFonts w:ascii="Google Sans" w:cs="Google Sans" w:eastAsia="Google Sans" w:hAnsi="Google Sans"/>
            <w:color w:val="0000ee"/>
            <w:sz w:val="24"/>
            <w:szCs w:val="24"/>
            <w:u w:val="single"/>
            <w:rtl w:val="0"/>
          </w:rPr>
          <w:t xml:space="preserve">https://www.ijcai.org/Proceedings/13/Papers/398.pdf</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 system in social networks with topical attention and probabilistic matrix factorization | PLOS One - Research journals, </w:t>
      </w:r>
      <w:hyperlink r:id="rId93">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https://journals.plos.org/plosone/article?id=10.1371/journal.pone.0223967</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SoRec: Social recommendation using probabilistic matrix factorization - ResearchGate, </w:t>
      </w:r>
      <w:hyperlink r:id="rId94">
        <w:r w:rsidDel="00000000" w:rsidR="00000000" w:rsidRPr="00000000">
          <w:rPr>
            <w:rFonts w:ascii="Google Sans" w:cs="Google Sans" w:eastAsia="Google Sans" w:hAnsi="Google Sans"/>
            <w:color w:val="0000ee"/>
            <w:sz w:val="24"/>
            <w:szCs w:val="24"/>
            <w:u w:val="single"/>
            <w:rtl w:val="0"/>
          </w:rPr>
          <w:t xml:space="preserve">https://www.researchgate.net/publication/221615498_SoRec_Social_recommendation_using_probabilistic_matrix_factorization</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SoRec: Social Recommendation Using Probabilistic Matrix Factorization - Computer Science, </w:t>
      </w:r>
      <w:hyperlink r:id="rId95">
        <w:r w:rsidDel="00000000" w:rsidR="00000000" w:rsidRPr="00000000">
          <w:rPr>
            <w:rFonts w:ascii="Google Sans" w:cs="Google Sans" w:eastAsia="Google Sans" w:hAnsi="Google Sans"/>
            <w:color w:val="0000ee"/>
            <w:sz w:val="24"/>
            <w:szCs w:val="24"/>
            <w:u w:val="single"/>
            <w:rtl w:val="0"/>
          </w:rPr>
          <w:t xml:space="preserve">http://web.cs.ucla.edu/~yzsun/classes/2014Spring_CS7280/Papers/Recommendation/paper_cikm08_sorec_hao.pdf</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Abstract - IJCAI, </w:t>
      </w:r>
      <w:hyperlink r:id="rId96">
        <w:r w:rsidDel="00000000" w:rsidR="00000000" w:rsidRPr="00000000">
          <w:rPr>
            <w:rFonts w:ascii="Google Sans" w:cs="Google Sans" w:eastAsia="Google Sans" w:hAnsi="Google Sans"/>
            <w:color w:val="0000ee"/>
            <w:sz w:val="24"/>
            <w:szCs w:val="24"/>
            <w:u w:val="single"/>
            <w:rtl w:val="0"/>
          </w:rPr>
          <w:t xml:space="preserve">https://www.ijcai.org/Abstract/11/440</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matrix factorization technique with trust propagation for recommendation in social networks - Semantic Scholar, </w:t>
      </w:r>
      <w:hyperlink r:id="rId97">
        <w:r w:rsidDel="00000000" w:rsidR="00000000" w:rsidRPr="00000000">
          <w:rPr>
            <w:rFonts w:ascii="Google Sans" w:cs="Google Sans" w:eastAsia="Google Sans" w:hAnsi="Google Sans"/>
            <w:color w:val="0000ee"/>
            <w:sz w:val="24"/>
            <w:szCs w:val="24"/>
            <w:u w:val="single"/>
            <w:rtl w:val="0"/>
          </w:rPr>
          <w:t xml:space="preserve">https://www.semanticscholar.org/paper/A-matrix-factorization-technique-with-trust-for-in-Jamali-Ester/c73287153c0a50102a40800c1ada626a410c63cc</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Implicit Social Relation in Rating Prediction of Social Recommender Systems, </w:t>
      </w:r>
      <w:hyperlink r:id="rId98">
        <w:r w:rsidDel="00000000" w:rsidR="00000000" w:rsidRPr="00000000">
          <w:rPr>
            <w:rFonts w:ascii="Google Sans" w:cs="Google Sans" w:eastAsia="Google Sans" w:hAnsi="Google Sans"/>
            <w:color w:val="0000ee"/>
            <w:sz w:val="24"/>
            <w:szCs w:val="24"/>
            <w:u w:val="single"/>
            <w:rtl w:val="0"/>
          </w:rPr>
          <w:t xml:space="preserve">https://pmc.ncbi.nlm.nih.gov/articles/PMC4859527/</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SPMF: A Social Trust and Preference Segmentation-based Matrix Factorization Recommendation Algorithm - arXiv, </w:t>
      </w:r>
      <w:hyperlink r:id="rId99">
        <w:r w:rsidDel="00000000" w:rsidR="00000000" w:rsidRPr="00000000">
          <w:rPr>
            <w:rFonts w:ascii="Google Sans" w:cs="Google Sans" w:eastAsia="Google Sans" w:hAnsi="Google Sans"/>
            <w:color w:val="0000ee"/>
            <w:sz w:val="24"/>
            <w:szCs w:val="24"/>
            <w:u w:val="single"/>
            <w:rtl w:val="0"/>
          </w:rPr>
          <w:t xml:space="preserve">https://arxiv.org/pdf/1903.04489</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Graph Neural Networks Method under Social Recommendation, </w:t>
      </w:r>
      <w:hyperlink r:id="rId100">
        <w:r w:rsidDel="00000000" w:rsidR="00000000" w:rsidRPr="00000000">
          <w:rPr>
            <w:rFonts w:ascii="Google Sans" w:cs="Google Sans" w:eastAsia="Google Sans" w:hAnsi="Google Sans"/>
            <w:color w:val="0000ee"/>
            <w:sz w:val="24"/>
            <w:szCs w:val="24"/>
            <w:u w:val="single"/>
            <w:rtl w:val="0"/>
          </w:rPr>
          <w:t xml:space="preserve">https://www.computer.org/csdl/proceedings-article/icnisc/2023/066800a583/1VBkarEbs1a</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图神经网络推荐研究进展, </w:t>
      </w:r>
      <w:hyperlink r:id="rId101">
        <w:r w:rsidDel="00000000" w:rsidR="00000000" w:rsidRPr="00000000">
          <w:rPr>
            <w:rFonts w:ascii="Google Sans" w:cs="Google Sans" w:eastAsia="Google Sans" w:hAnsi="Google Sans"/>
            <w:color w:val="0000ee"/>
            <w:sz w:val="24"/>
            <w:szCs w:val="24"/>
            <w:u w:val="single"/>
            <w:rtl w:val="0"/>
          </w:rPr>
          <w:t xml:space="preserve">https://html.rhhz.net/tis/html/201908034.htm</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Neural Networks for Social Recommendation - SciSpace, </w:t>
      </w:r>
      <w:hyperlink r:id="rId102">
        <w:r w:rsidDel="00000000" w:rsidR="00000000" w:rsidRPr="00000000">
          <w:rPr>
            <w:rFonts w:ascii="Google Sans" w:cs="Google Sans" w:eastAsia="Google Sans" w:hAnsi="Google Sans"/>
            <w:color w:val="0000ee"/>
            <w:sz w:val="24"/>
            <w:szCs w:val="24"/>
            <w:u w:val="single"/>
            <w:rtl w:val="0"/>
          </w:rPr>
          <w:t xml:space="preserve">https://scispace.com/pdf/graph-neural-networks-for-social-recommendation-2idqjfhe2l.pdf</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基于图神经网络的协同过滤推荐算法综述 - 集成技术, </w:t>
      </w:r>
      <w:hyperlink r:id="rId103">
        <w:r w:rsidDel="00000000" w:rsidR="00000000" w:rsidRPr="00000000">
          <w:rPr>
            <w:rFonts w:ascii="Google Sans" w:cs="Google Sans" w:eastAsia="Google Sans" w:hAnsi="Google Sans"/>
            <w:color w:val="0000ee"/>
            <w:sz w:val="24"/>
            <w:szCs w:val="24"/>
            <w:u w:val="single"/>
            <w:rtl w:val="0"/>
          </w:rPr>
          <w:t xml:space="preserve">https://jcjs.siat.ac.cn/cn/article/pdf/preview/10.12146/j.issn.2095-3135.20230731001.pdf</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social recommendation model based on adaptive residual graph convolution networks, </w:t>
      </w:r>
      <w:hyperlink r:id="rId104">
        <w:r w:rsidDel="00000000" w:rsidR="00000000" w:rsidRPr="00000000">
          <w:rPr>
            <w:rFonts w:ascii="Google Sans" w:cs="Google Sans" w:eastAsia="Google Sans" w:hAnsi="Google Sans"/>
            <w:color w:val="0000ee"/>
            <w:sz w:val="24"/>
            <w:szCs w:val="24"/>
            <w:u w:val="single"/>
            <w:rtl w:val="0"/>
          </w:rPr>
          <w:t xml:space="preserve">https://pmc.ncbi.nlm.nih.gov/articles/PMC12453798/</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Graph Neural Networks for Social Recommender Systems - Semantic Scholar, </w:t>
      </w:r>
      <w:hyperlink r:id="rId105">
        <w:r w:rsidDel="00000000" w:rsidR="00000000" w:rsidRPr="00000000">
          <w:rPr>
            <w:rFonts w:ascii="Google Sans" w:cs="Google Sans" w:eastAsia="Google Sans" w:hAnsi="Google Sans"/>
            <w:color w:val="0000ee"/>
            <w:sz w:val="24"/>
            <w:szCs w:val="24"/>
            <w:u w:val="single"/>
            <w:rtl w:val="0"/>
          </w:rPr>
          <w:t xml:space="preserve">https://www.semanticscholar.org/paper/A-Survey-of-Graph-Neural-Networks-for-Social-Sharma-Lee/250e1fa7d898f5e6db8138ad7c9e1aa004707fcc</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GraphRec-based Korean expert recommendation using author contribution index and the paper abstracts in marine - DOI, </w:t>
      </w:r>
      <w:hyperlink r:id="rId106">
        <w:r w:rsidDel="00000000" w:rsidR="00000000" w:rsidRPr="00000000">
          <w:rPr>
            <w:rFonts w:ascii="Google Sans" w:cs="Google Sans" w:eastAsia="Google Sans" w:hAnsi="Google Sans"/>
            <w:color w:val="0000ee"/>
            <w:sz w:val="24"/>
            <w:szCs w:val="24"/>
            <w:u w:val="single"/>
            <w:rtl w:val="0"/>
          </w:rPr>
          <w:t xml:space="preserve">https://doi.org/10.1016/j.engappai.2024.108219</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Neural Networks for Social Recommendation | GraphRec | by Chaitanya | Medium, </w:t>
      </w:r>
      <w:hyperlink r:id="rId107">
        <w:r w:rsidDel="00000000" w:rsidR="00000000" w:rsidRPr="00000000">
          <w:rPr>
            <w:rFonts w:ascii="Google Sans" w:cs="Google Sans" w:eastAsia="Google Sans" w:hAnsi="Google Sans"/>
            <w:color w:val="0000ee"/>
            <w:sz w:val="24"/>
            <w:szCs w:val="24"/>
            <w:u w:val="single"/>
            <w:rtl w:val="0"/>
          </w:rPr>
          <w:t xml:space="preserve">https://medium.com/@chaitanya6575/graph-neural-networks-for-social-recommendation-summary-9e6bf7dfbf76</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Rec-GNN: Research on Social Recommendation based on Graph Neural Networks - Atlantis Press, </w:t>
      </w:r>
      <w:hyperlink r:id="rId108">
        <w:r w:rsidDel="00000000" w:rsidR="00000000" w:rsidRPr="00000000">
          <w:rPr>
            <w:rFonts w:ascii="Google Sans" w:cs="Google Sans" w:eastAsia="Google Sans" w:hAnsi="Google Sans"/>
            <w:color w:val="0000ee"/>
            <w:sz w:val="24"/>
            <w:szCs w:val="24"/>
            <w:u w:val="single"/>
            <w:rtl w:val="0"/>
          </w:rPr>
          <w:t xml:space="preserve">https://www.atlantis-press.com/article/125982816.pdf</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DiffNet++: A Neural Influence and Interest Diffusion Network for Social Recommendation, </w:t>
      </w:r>
      <w:hyperlink r:id="rId109">
        <w:r w:rsidDel="00000000" w:rsidR="00000000" w:rsidRPr="00000000">
          <w:rPr>
            <w:rFonts w:ascii="Google Sans" w:cs="Google Sans" w:eastAsia="Google Sans" w:hAnsi="Google Sans"/>
            <w:color w:val="0000ee"/>
            <w:sz w:val="24"/>
            <w:szCs w:val="24"/>
            <w:u w:val="single"/>
            <w:rtl w:val="0"/>
          </w:rPr>
          <w:t xml:space="preserve">https://le-wu.com/files/Publications/JOURNAL/DIFFNET++.pdf</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Neural Influence Diffusion Model for Social Recommendation - arXiv, </w:t>
      </w:r>
      <w:hyperlink r:id="rId110">
        <w:r w:rsidDel="00000000" w:rsidR="00000000" w:rsidRPr="00000000">
          <w:rPr>
            <w:rFonts w:ascii="Google Sans" w:cs="Google Sans" w:eastAsia="Google Sans" w:hAnsi="Google Sans"/>
            <w:color w:val="0000ee"/>
            <w:sz w:val="24"/>
            <w:szCs w:val="24"/>
            <w:u w:val="single"/>
            <w:rtl w:val="0"/>
          </w:rPr>
          <w:t xml:space="preserve">https://arxiv.org/pdf/1904.10322</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Contrastive Graph Learning for Social Recommendation - Frontiers, </w:t>
      </w:r>
      <w:hyperlink r:id="rId111">
        <w:r w:rsidDel="00000000" w:rsidR="00000000" w:rsidRPr="00000000">
          <w:rPr>
            <w:rFonts w:ascii="Google Sans" w:cs="Google Sans" w:eastAsia="Google Sans" w:hAnsi="Google Sans"/>
            <w:color w:val="0000ee"/>
            <w:sz w:val="24"/>
            <w:szCs w:val="24"/>
            <w:u w:val="single"/>
            <w:rtl w:val="0"/>
          </w:rPr>
          <w:t xml:space="preserve">https://www.frontiersin.org/journals/physics/articles/10.3389/fphy.2022.830805/full</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Graph Neural Networks for Social Recommendations - MDPI, </w:t>
      </w:r>
      <w:hyperlink r:id="rId112">
        <w:r w:rsidDel="00000000" w:rsidR="00000000" w:rsidRPr="00000000">
          <w:rPr>
            <w:rFonts w:ascii="Google Sans" w:cs="Google Sans" w:eastAsia="Google Sans" w:hAnsi="Google Sans"/>
            <w:color w:val="0000ee"/>
            <w:sz w:val="24"/>
            <w:szCs w:val="24"/>
            <w:u w:val="single"/>
            <w:rtl w:val="0"/>
          </w:rPr>
          <w:t xml:space="preserve">https://www.mdpi.com/1999-4893/16/11/515</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neural networks for preference social recommendation - PMC - NIH, </w:t>
      </w:r>
      <w:hyperlink r:id="rId113">
        <w:r w:rsidDel="00000000" w:rsidR="00000000" w:rsidRPr="00000000">
          <w:rPr>
            <w:rFonts w:ascii="Google Sans" w:cs="Google Sans" w:eastAsia="Google Sans" w:hAnsi="Google Sans"/>
            <w:color w:val="0000ee"/>
            <w:sz w:val="24"/>
            <w:szCs w:val="24"/>
            <w:u w:val="single"/>
            <w:rtl w:val="0"/>
          </w:rPr>
          <w:t xml:space="preserve">https://pmc.ncbi.nlm.nih.gov/articles/PMC10280625/</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Disentangled Contrastive Learning for Social Recommendation - arXiv, </w:t>
      </w:r>
      <w:hyperlink r:id="rId114">
        <w:r w:rsidDel="00000000" w:rsidR="00000000" w:rsidRPr="00000000">
          <w:rPr>
            <w:rFonts w:ascii="Google Sans" w:cs="Google Sans" w:eastAsia="Google Sans" w:hAnsi="Google Sans"/>
            <w:color w:val="0000ee"/>
            <w:sz w:val="24"/>
            <w:szCs w:val="24"/>
            <w:u w:val="single"/>
            <w:rtl w:val="0"/>
          </w:rPr>
          <w:t xml:space="preserve">https://arxiv.org/html/2208.08723</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Contrastive InfoNCE Loss Overview - Emergent Mind, </w:t>
      </w:r>
      <w:hyperlink r:id="rId115">
        <w:r w:rsidDel="00000000" w:rsidR="00000000" w:rsidRPr="00000000">
          <w:rPr>
            <w:rFonts w:ascii="Google Sans" w:cs="Google Sans" w:eastAsia="Google Sans" w:hAnsi="Google Sans"/>
            <w:color w:val="0000ee"/>
            <w:sz w:val="24"/>
            <w:szCs w:val="24"/>
            <w:u w:val="single"/>
            <w:rtl w:val="0"/>
          </w:rPr>
          <w:t xml:space="preserve">https://www.emergentmind.com/topics/contrastive-infonce-loss</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Model-Aware Contrastive Learning: Towards Escaping the Dilemmas, </w:t>
      </w:r>
      <w:hyperlink r:id="rId116">
        <w:r w:rsidDel="00000000" w:rsidR="00000000" w:rsidRPr="00000000">
          <w:rPr>
            <w:rFonts w:ascii="Google Sans" w:cs="Google Sans" w:eastAsia="Google Sans" w:hAnsi="Google Sans"/>
            <w:color w:val="0000ee"/>
            <w:sz w:val="24"/>
            <w:szCs w:val="24"/>
            <w:u w:val="single"/>
            <w:rtl w:val="0"/>
          </w:rPr>
          <w:t xml:space="preserve">https://proceedings.mlr.press/v202/huang23c/huang23c.pdf</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InfoNCE: Identifying the Gap Between Theory and Practice - GitHub, </w:t>
      </w:r>
      <w:hyperlink r:id="rId117">
        <w:r w:rsidDel="00000000" w:rsidR="00000000" w:rsidRPr="00000000">
          <w:rPr>
            <w:rFonts w:ascii="Google Sans" w:cs="Google Sans" w:eastAsia="Google Sans" w:hAnsi="Google Sans"/>
            <w:color w:val="0000ee"/>
            <w:sz w:val="24"/>
            <w:szCs w:val="24"/>
            <w:u w:val="single"/>
            <w:rtl w:val="0"/>
          </w:rPr>
          <w:t xml:space="preserve">https://raw.githubusercontent.com/mlresearch/v258/main/assets/rusak25a/rusak25a.pdf</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Multi-view graph contrastive learning for social recommendation - PMC, </w:t>
      </w:r>
      <w:hyperlink r:id="rId118">
        <w:r w:rsidDel="00000000" w:rsidR="00000000" w:rsidRPr="00000000">
          <w:rPr>
            <w:rFonts w:ascii="Google Sans" w:cs="Google Sans" w:eastAsia="Google Sans" w:hAnsi="Google Sans"/>
            <w:color w:val="0000ee"/>
            <w:sz w:val="24"/>
            <w:szCs w:val="24"/>
            <w:u w:val="single"/>
            <w:rtl w:val="0"/>
          </w:rPr>
          <w:t xml:space="preserve">https://pmc.ncbi.nlm.nih.gov/articles/PMC11443092/</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Contrastive Representation Learning | Lil'Log, </w:t>
      </w:r>
      <w:hyperlink r:id="rId119">
        <w:r w:rsidDel="00000000" w:rsidR="00000000" w:rsidRPr="00000000">
          <w:rPr>
            <w:rFonts w:ascii="Google Sans" w:cs="Google Sans" w:eastAsia="Google Sans" w:hAnsi="Google Sans"/>
            <w:color w:val="0000ee"/>
            <w:sz w:val="24"/>
            <w:szCs w:val="24"/>
            <w:u w:val="single"/>
            <w:rtl w:val="0"/>
          </w:rPr>
          <w:t xml:space="preserve">https://lilianweng.github.io/posts/2021-05-31-contrastive/</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Recommendation Loss Functions through Contrastive Learning (Technical Report) - arXiv, </w:t>
      </w:r>
      <w:hyperlink r:id="rId120">
        <w:r w:rsidDel="00000000" w:rsidR="00000000" w:rsidRPr="00000000">
          <w:rPr>
            <w:rFonts w:ascii="Google Sans" w:cs="Google Sans" w:eastAsia="Google Sans" w:hAnsi="Google Sans"/>
            <w:color w:val="0000ee"/>
            <w:sz w:val="24"/>
            <w:szCs w:val="24"/>
            <w:u w:val="single"/>
            <w:rtl w:val="0"/>
          </w:rPr>
          <w:t xml:space="preserve">https://arxiv.org/html/2312.08520v1</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Disentangled Contrastive Learning for Social Recommendation - arXiv, </w:t>
      </w:r>
      <w:hyperlink r:id="rId121">
        <w:r w:rsidDel="00000000" w:rsidR="00000000" w:rsidRPr="00000000">
          <w:rPr>
            <w:rFonts w:ascii="Google Sans" w:cs="Google Sans" w:eastAsia="Google Sans" w:hAnsi="Google Sans"/>
            <w:color w:val="0000ee"/>
            <w:sz w:val="24"/>
            <w:szCs w:val="24"/>
            <w:u w:val="single"/>
            <w:rtl w:val="0"/>
          </w:rPr>
          <w:t xml:space="preserve">https://arxiv.org/pdf/2208.08723</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social recommendation model based on cross-view contrastive learning and multi-head attention for multi-rating fusion - Lancaster University research directory, </w:t>
      </w:r>
      <w:hyperlink r:id="rId122">
        <w:r w:rsidDel="00000000" w:rsidR="00000000" w:rsidRPr="00000000">
          <w:rPr>
            <w:rFonts w:ascii="Google Sans" w:cs="Google Sans" w:eastAsia="Google Sans" w:hAnsi="Google Sans"/>
            <w:color w:val="0000ee"/>
            <w:sz w:val="24"/>
            <w:szCs w:val="24"/>
            <w:u w:val="single"/>
            <w:rtl w:val="0"/>
          </w:rPr>
          <w:t xml:space="preserve">https://research.lancaster-university.uk/en/publications/-(581f7bea-1d3a-435e-90c3-0e560f77f732).html</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SSGCL: Simple Social Recommendation with Graph Contrastive Learning - MDPI, </w:t>
      </w:r>
      <w:hyperlink r:id="rId123">
        <w:r w:rsidDel="00000000" w:rsidR="00000000" w:rsidRPr="00000000">
          <w:rPr>
            <w:rFonts w:ascii="Google Sans" w:cs="Google Sans" w:eastAsia="Google Sans" w:hAnsi="Google Sans"/>
            <w:color w:val="0000ee"/>
            <w:sz w:val="24"/>
            <w:szCs w:val="24"/>
            <w:u w:val="single"/>
            <w:rtl w:val="0"/>
          </w:rPr>
          <w:t xml:space="preserve">https://www.mdpi.com/2227-7390/12/7/1107</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LLM-SocRec: Enhancing Graph-based Social Recommendation via Collaborative Large Language Models | Request PDF - ResearchGate, </w:t>
      </w:r>
      <w:hyperlink r:id="rId124">
        <w:r w:rsidDel="00000000" w:rsidR="00000000" w:rsidRPr="00000000">
          <w:rPr>
            <w:rFonts w:ascii="Google Sans" w:cs="Google Sans" w:eastAsia="Google Sans" w:hAnsi="Google Sans"/>
            <w:color w:val="0000ee"/>
            <w:sz w:val="24"/>
            <w:szCs w:val="24"/>
            <w:u w:val="single"/>
            <w:rtl w:val="0"/>
          </w:rPr>
          <w:t xml:space="preserve">https://www.researchgate.net/publication/404978393_LLM-SocRec_Enhancing_Graph-based_Social_Recommendation_via_Collaborative_Large_Language_Models</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LLMRec: Large Language Models with Graph Augmentation for Recommendation, </w:t>
      </w:r>
      <w:hyperlink r:id="rId125">
        <w:r w:rsidDel="00000000" w:rsidR="00000000" w:rsidRPr="00000000">
          <w:rPr>
            <w:rFonts w:ascii="Google Sans" w:cs="Google Sans" w:eastAsia="Google Sans" w:hAnsi="Google Sans"/>
            <w:color w:val="0000ee"/>
            <w:sz w:val="24"/>
            <w:szCs w:val="24"/>
            <w:u w:val="single"/>
            <w:rtl w:val="0"/>
          </w:rPr>
          <w:t xml:space="preserve">https://www.atailab.cn/seminar2024Fall/pdf/2024_WSDM_LLMRec_Large%20Language%20Models%20with%20Graph%20Augmentation%20for%20Recommendation.pdf</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Recommender Systems in the Era of Large Language Models (LLMs) - arXiv, </w:t>
      </w:r>
      <w:hyperlink r:id="rId126">
        <w:r w:rsidDel="00000000" w:rsidR="00000000" w:rsidRPr="00000000">
          <w:rPr>
            <w:rFonts w:ascii="Google Sans" w:cs="Google Sans" w:eastAsia="Google Sans" w:hAnsi="Google Sans"/>
            <w:color w:val="0000ee"/>
            <w:sz w:val="24"/>
            <w:szCs w:val="24"/>
            <w:u w:val="single"/>
            <w:rtl w:val="0"/>
          </w:rPr>
          <w:t xml:space="preserve">https://arxiv.org/html/2307.02046v1</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LLM4Rec: A Comprehensive Survey on the Integration of Large Language Models in Recommender Systems—Approaches, Applications and Challenges - MDPI, </w:t>
      </w:r>
      <w:hyperlink r:id="rId127">
        <w:r w:rsidDel="00000000" w:rsidR="00000000" w:rsidRPr="00000000">
          <w:rPr>
            <w:rFonts w:ascii="Google Sans" w:cs="Google Sans" w:eastAsia="Google Sans" w:hAnsi="Google Sans"/>
            <w:color w:val="0000ee"/>
            <w:sz w:val="24"/>
            <w:szCs w:val="24"/>
            <w:u w:val="single"/>
            <w:rtl w:val="0"/>
          </w:rPr>
          <w:t xml:space="preserve">https://www.mdpi.com/1999-5903/17/6/252</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LLM-BRec: Personalizing Session-based Social Recommendation with LLM-BERT Fusion Framework - Sony AI, </w:t>
      </w:r>
      <w:hyperlink r:id="rId128">
        <w:r w:rsidDel="00000000" w:rsidR="00000000" w:rsidRPr="00000000">
          <w:rPr>
            <w:rFonts w:ascii="Google Sans" w:cs="Google Sans" w:eastAsia="Google Sans" w:hAnsi="Google Sans"/>
            <w:color w:val="0000ee"/>
            <w:sz w:val="24"/>
            <w:szCs w:val="24"/>
            <w:u w:val="single"/>
            <w:rtl w:val="0"/>
          </w:rPr>
          <w:t xml:space="preserve">https://ai.sony/publications/llm-brec-personalizing-session-based-social-recommendation-with-llm-bert-fusion-framework</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Recommendation through Heterogeneous Graph Modeling of the Long-term and Short-term Preference Defined by Dynamic Periods - arXiv, </w:t>
      </w:r>
      <w:hyperlink r:id="rId129">
        <w:r w:rsidDel="00000000" w:rsidR="00000000" w:rsidRPr="00000000">
          <w:rPr>
            <w:rFonts w:ascii="Google Sans" w:cs="Google Sans" w:eastAsia="Google Sans" w:hAnsi="Google Sans"/>
            <w:color w:val="0000ee"/>
            <w:sz w:val="24"/>
            <w:szCs w:val="24"/>
            <w:u w:val="single"/>
            <w:rtl w:val="0"/>
          </w:rPr>
          <w:t xml:space="preserve">https://arxiv.org/html/2312.14306v1</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 A Sequential Recommendation Framework via Temporally Evolving Aggregations, </w:t>
      </w:r>
      <w:hyperlink r:id="rId130">
        <w:r w:rsidDel="00000000" w:rsidR="00000000" w:rsidRPr="00000000">
          <w:rPr>
            <w:rFonts w:ascii="Google Sans" w:cs="Google Sans" w:eastAsia="Google Sans" w:hAnsi="Google Sans"/>
            <w:color w:val="0000ee"/>
            <w:sz w:val="24"/>
            <w:szCs w:val="24"/>
            <w:u w:val="single"/>
            <w:rtl w:val="0"/>
          </w:rPr>
          <w:t xml:space="preserve">https://www.alphaxiv.org/abs/2111.07378v2</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可信图神经网络的全面综述：隐私性、鲁棒性、公平性和可解释性 - 智源社区, </w:t>
      </w:r>
      <w:hyperlink r:id="rId131">
        <w:r w:rsidDel="00000000" w:rsidR="00000000" w:rsidRPr="00000000">
          <w:rPr>
            <w:rFonts w:ascii="Google Sans" w:cs="Google Sans" w:eastAsia="Google Sans" w:hAnsi="Google Sans"/>
            <w:color w:val="0000ee"/>
            <w:sz w:val="24"/>
            <w:szCs w:val="24"/>
            <w:u w:val="single"/>
            <w:rtl w:val="0"/>
          </w:rPr>
          <w:t xml:space="preserve">https://hub.baai.ac.cn/view/44397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14.png"/><Relationship Id="rId41" Type="http://schemas.openxmlformats.org/officeDocument/2006/relationships/image" Target="media/image22.png"/><Relationship Id="rId44" Type="http://schemas.openxmlformats.org/officeDocument/2006/relationships/image" Target="media/image8.png"/><Relationship Id="rId43" Type="http://schemas.openxmlformats.org/officeDocument/2006/relationships/image" Target="media/image5.png"/><Relationship Id="rId46" Type="http://schemas.openxmlformats.org/officeDocument/2006/relationships/image" Target="media/image2.png"/><Relationship Id="rId45" Type="http://schemas.openxmlformats.org/officeDocument/2006/relationships/image" Target="media/image1.png"/><Relationship Id="rId107" Type="http://schemas.openxmlformats.org/officeDocument/2006/relationships/hyperlink" Target="https://medium.com/@chaitanya6575/graph-neural-networks-for-social-recommendation-summary-9e6bf7dfbf76" TargetMode="External"/><Relationship Id="rId106" Type="http://schemas.openxmlformats.org/officeDocument/2006/relationships/hyperlink" Target="https://doi.org/10.1016/j.engappai.2024.108219" TargetMode="External"/><Relationship Id="rId105" Type="http://schemas.openxmlformats.org/officeDocument/2006/relationships/hyperlink" Target="https://www.semanticscholar.org/paper/A-Survey-of-Graph-Neural-Networks-for-Social-Sharma-Lee/250e1fa7d898f5e6db8138ad7c9e1aa004707fcc" TargetMode="External"/><Relationship Id="rId104" Type="http://schemas.openxmlformats.org/officeDocument/2006/relationships/hyperlink" Target="https://pmc.ncbi.nlm.nih.gov/articles/PMC12453798/" TargetMode="External"/><Relationship Id="rId109" Type="http://schemas.openxmlformats.org/officeDocument/2006/relationships/hyperlink" Target="https://le-wu.com/files/Publications/JOURNAL/DIFFNET++.pdf" TargetMode="External"/><Relationship Id="rId108" Type="http://schemas.openxmlformats.org/officeDocument/2006/relationships/hyperlink" Target="https://www.atlantis-press.com/article/125982816.pdf" TargetMode="External"/><Relationship Id="rId48" Type="http://schemas.openxmlformats.org/officeDocument/2006/relationships/image" Target="media/image51.png"/><Relationship Id="rId47" Type="http://schemas.openxmlformats.org/officeDocument/2006/relationships/image" Target="media/image3.png"/><Relationship Id="rId49" Type="http://schemas.openxmlformats.org/officeDocument/2006/relationships/image" Target="media/image55.png"/><Relationship Id="rId103" Type="http://schemas.openxmlformats.org/officeDocument/2006/relationships/hyperlink" Target="https://jcjs.siat.ac.cn/cn/article/pdf/preview/10.12146/j.issn.2095-3135.20230731001.pdf" TargetMode="External"/><Relationship Id="rId102" Type="http://schemas.openxmlformats.org/officeDocument/2006/relationships/hyperlink" Target="https://scispace.com/pdf/graph-neural-networks-for-social-recommendation-2idqjfhe2l.pdf" TargetMode="External"/><Relationship Id="rId101" Type="http://schemas.openxmlformats.org/officeDocument/2006/relationships/hyperlink" Target="https://html.rhhz.net/tis/html/201908034.htm" TargetMode="External"/><Relationship Id="rId100" Type="http://schemas.openxmlformats.org/officeDocument/2006/relationships/hyperlink" Target="https://www.computer.org/csdl/proceedings-article/icnisc/2023/066800a583/1VBkarEbs1a" TargetMode="External"/><Relationship Id="rId31" Type="http://schemas.openxmlformats.org/officeDocument/2006/relationships/image" Target="media/image37.png"/><Relationship Id="rId30" Type="http://schemas.openxmlformats.org/officeDocument/2006/relationships/image" Target="media/image42.png"/><Relationship Id="rId33" Type="http://schemas.openxmlformats.org/officeDocument/2006/relationships/image" Target="media/image43.png"/><Relationship Id="rId32" Type="http://schemas.openxmlformats.org/officeDocument/2006/relationships/image" Target="media/image34.png"/><Relationship Id="rId35" Type="http://schemas.openxmlformats.org/officeDocument/2006/relationships/image" Target="media/image16.png"/><Relationship Id="rId34" Type="http://schemas.openxmlformats.org/officeDocument/2006/relationships/image" Target="media/image13.png"/><Relationship Id="rId37" Type="http://schemas.openxmlformats.org/officeDocument/2006/relationships/image" Target="media/image21.png"/><Relationship Id="rId36" Type="http://schemas.openxmlformats.org/officeDocument/2006/relationships/image" Target="media/image12.png"/><Relationship Id="rId39" Type="http://schemas.openxmlformats.org/officeDocument/2006/relationships/image" Target="media/image17.png"/><Relationship Id="rId38" Type="http://schemas.openxmlformats.org/officeDocument/2006/relationships/image" Target="media/image26.png"/><Relationship Id="rId20" Type="http://schemas.openxmlformats.org/officeDocument/2006/relationships/image" Target="media/image54.png"/><Relationship Id="rId22" Type="http://schemas.openxmlformats.org/officeDocument/2006/relationships/image" Target="media/image69.png"/><Relationship Id="rId21" Type="http://schemas.openxmlformats.org/officeDocument/2006/relationships/image" Target="media/image57.png"/><Relationship Id="rId24" Type="http://schemas.openxmlformats.org/officeDocument/2006/relationships/image" Target="media/image68.png"/><Relationship Id="rId23" Type="http://schemas.openxmlformats.org/officeDocument/2006/relationships/image" Target="media/image67.png"/><Relationship Id="rId129" Type="http://schemas.openxmlformats.org/officeDocument/2006/relationships/hyperlink" Target="https://arxiv.org/html/2312.14306v1" TargetMode="External"/><Relationship Id="rId128" Type="http://schemas.openxmlformats.org/officeDocument/2006/relationships/hyperlink" Target="https://ai.sony/publications/llm-brec-personalizing-session-based-social-recommendation-with-llm-bert-fusion-framework" TargetMode="External"/><Relationship Id="rId127" Type="http://schemas.openxmlformats.org/officeDocument/2006/relationships/hyperlink" Target="https://www.mdpi.com/1999-5903/17/6/252" TargetMode="External"/><Relationship Id="rId126" Type="http://schemas.openxmlformats.org/officeDocument/2006/relationships/hyperlink" Target="https://arxiv.org/html/2307.02046v1" TargetMode="External"/><Relationship Id="rId26" Type="http://schemas.openxmlformats.org/officeDocument/2006/relationships/image" Target="media/image65.png"/><Relationship Id="rId121" Type="http://schemas.openxmlformats.org/officeDocument/2006/relationships/hyperlink" Target="https://arxiv.org/pdf/2208.08723" TargetMode="External"/><Relationship Id="rId25" Type="http://schemas.openxmlformats.org/officeDocument/2006/relationships/image" Target="media/image64.png"/><Relationship Id="rId120" Type="http://schemas.openxmlformats.org/officeDocument/2006/relationships/hyperlink" Target="https://arxiv.org/html/2312.08520v1" TargetMode="External"/><Relationship Id="rId28" Type="http://schemas.openxmlformats.org/officeDocument/2006/relationships/image" Target="media/image25.png"/><Relationship Id="rId27" Type="http://schemas.openxmlformats.org/officeDocument/2006/relationships/image" Target="media/image24.png"/><Relationship Id="rId125" Type="http://schemas.openxmlformats.org/officeDocument/2006/relationships/hyperlink" Target="https://www.atailab.cn/seminar2024Fall/pdf/2024_WSDM_LLMRec_Large%20Language%20Models%20with%20Graph%20Augmentation%20for%20Recommendation.pdf" TargetMode="External"/><Relationship Id="rId29" Type="http://schemas.openxmlformats.org/officeDocument/2006/relationships/image" Target="media/image27.png"/><Relationship Id="rId124" Type="http://schemas.openxmlformats.org/officeDocument/2006/relationships/hyperlink" Target="https://www.researchgate.net/publication/404978393_LLM-SocRec_Enhancing_Graph-based_Social_Recommendation_via_Collaborative_Large_Language_Models" TargetMode="External"/><Relationship Id="rId123" Type="http://schemas.openxmlformats.org/officeDocument/2006/relationships/hyperlink" Target="https://www.mdpi.com/2227-7390/12/7/1107" TargetMode="External"/><Relationship Id="rId122" Type="http://schemas.openxmlformats.org/officeDocument/2006/relationships/hyperlink" Target="https://research.lancaster-university.uk/en/publications/-(581f7bea-1d3a-435e-90c3-0e560f77f732).html" TargetMode="External"/><Relationship Id="rId95" Type="http://schemas.openxmlformats.org/officeDocument/2006/relationships/hyperlink" Target="http://web.cs.ucla.edu/~yzsun/classes/2014Spring_CS7280/Papers/Recommendation/paper_cikm08_sorec_hao.pdf" TargetMode="External"/><Relationship Id="rId94" Type="http://schemas.openxmlformats.org/officeDocument/2006/relationships/hyperlink" Target="https://www.researchgate.net/publication/221615498_SoRec_Social_recommendation_using_probabilistic_matrix_factorization" TargetMode="External"/><Relationship Id="rId97" Type="http://schemas.openxmlformats.org/officeDocument/2006/relationships/hyperlink" Target="https://www.semanticscholar.org/paper/A-matrix-factorization-technique-with-trust-for-in-Jamali-Ester/c73287153c0a50102a40800c1ada626a410c63cc" TargetMode="External"/><Relationship Id="rId96" Type="http://schemas.openxmlformats.org/officeDocument/2006/relationships/hyperlink" Target="https://www.ijcai.org/Abstract/11/440" TargetMode="External"/><Relationship Id="rId11" Type="http://schemas.openxmlformats.org/officeDocument/2006/relationships/image" Target="media/image45.png"/><Relationship Id="rId99" Type="http://schemas.openxmlformats.org/officeDocument/2006/relationships/hyperlink" Target="https://arxiv.org/pdf/1903.04489" TargetMode="External"/><Relationship Id="rId10" Type="http://schemas.openxmlformats.org/officeDocument/2006/relationships/image" Target="media/image49.png"/><Relationship Id="rId98" Type="http://schemas.openxmlformats.org/officeDocument/2006/relationships/hyperlink" Target="https://pmc.ncbi.nlm.nih.gov/articles/PMC4859527/" TargetMode="External"/><Relationship Id="rId13" Type="http://schemas.openxmlformats.org/officeDocument/2006/relationships/image" Target="media/image47.png"/><Relationship Id="rId12" Type="http://schemas.openxmlformats.org/officeDocument/2006/relationships/image" Target="media/image41.png"/><Relationship Id="rId91" Type="http://schemas.openxmlformats.org/officeDocument/2006/relationships/hyperlink" Target="https://www.ijcai.org/Proceedings/16/Papers/270.pdf" TargetMode="External"/><Relationship Id="rId90" Type="http://schemas.openxmlformats.org/officeDocument/2006/relationships/hyperlink" Target="https://www.mdpi.com/1099-4300/19/8/424" TargetMode="External"/><Relationship Id="rId93" Type="http://schemas.openxmlformats.org/officeDocument/2006/relationships/hyperlink" Target="https://journals.plos.org/plosone/article?id=10.1371/journal.pone.0223967" TargetMode="External"/><Relationship Id="rId92" Type="http://schemas.openxmlformats.org/officeDocument/2006/relationships/hyperlink" Target="https://www.ijcai.org/Proceedings/13/Papers/398.pdf" TargetMode="External"/><Relationship Id="rId118" Type="http://schemas.openxmlformats.org/officeDocument/2006/relationships/hyperlink" Target="https://pmc.ncbi.nlm.nih.gov/articles/PMC11443092/" TargetMode="External"/><Relationship Id="rId117" Type="http://schemas.openxmlformats.org/officeDocument/2006/relationships/hyperlink" Target="https://raw.githubusercontent.com/mlresearch/v258/main/assets/rusak25a/rusak25a.pdf" TargetMode="External"/><Relationship Id="rId116" Type="http://schemas.openxmlformats.org/officeDocument/2006/relationships/hyperlink" Target="https://proceedings.mlr.press/v202/huang23c/huang23c.pdf" TargetMode="External"/><Relationship Id="rId115" Type="http://schemas.openxmlformats.org/officeDocument/2006/relationships/hyperlink" Target="https://www.emergentmind.com/topics/contrastive-infonce-loss" TargetMode="External"/><Relationship Id="rId119" Type="http://schemas.openxmlformats.org/officeDocument/2006/relationships/hyperlink" Target="https://lilianweng.github.io/posts/2021-05-31-contrastive/" TargetMode="External"/><Relationship Id="rId15" Type="http://schemas.openxmlformats.org/officeDocument/2006/relationships/image" Target="media/image52.png"/><Relationship Id="rId110" Type="http://schemas.openxmlformats.org/officeDocument/2006/relationships/hyperlink" Target="https://arxiv.org/pdf/1904.10322" TargetMode="External"/><Relationship Id="rId14" Type="http://schemas.openxmlformats.org/officeDocument/2006/relationships/image" Target="media/image6.png"/><Relationship Id="rId17" Type="http://schemas.openxmlformats.org/officeDocument/2006/relationships/image" Target="media/image61.png"/><Relationship Id="rId16" Type="http://schemas.openxmlformats.org/officeDocument/2006/relationships/image" Target="media/image50.png"/><Relationship Id="rId19" Type="http://schemas.openxmlformats.org/officeDocument/2006/relationships/image" Target="media/image36.png"/><Relationship Id="rId114" Type="http://schemas.openxmlformats.org/officeDocument/2006/relationships/hyperlink" Target="https://arxiv.org/html/2208.08723" TargetMode="External"/><Relationship Id="rId18" Type="http://schemas.openxmlformats.org/officeDocument/2006/relationships/image" Target="media/image53.png"/><Relationship Id="rId113" Type="http://schemas.openxmlformats.org/officeDocument/2006/relationships/hyperlink" Target="https://pmc.ncbi.nlm.nih.gov/articles/PMC10280625/" TargetMode="External"/><Relationship Id="rId112" Type="http://schemas.openxmlformats.org/officeDocument/2006/relationships/hyperlink" Target="https://www.mdpi.com/1999-4893/16/11/515" TargetMode="External"/><Relationship Id="rId111" Type="http://schemas.openxmlformats.org/officeDocument/2006/relationships/hyperlink" Target="https://www.frontiersin.org/journals/physics/articles/10.3389/fphy.2022.830805/full" TargetMode="External"/><Relationship Id="rId84" Type="http://schemas.openxmlformats.org/officeDocument/2006/relationships/hyperlink" Target="https://www.atlantis-press.com/article/25844405.pdf" TargetMode="External"/><Relationship Id="rId83" Type="http://schemas.openxmlformats.org/officeDocument/2006/relationships/hyperlink" Target="https://itiis.org/digital-library/manuscript/file/21757/TIISVol12No5-10.pdf" TargetMode="External"/><Relationship Id="rId86" Type="http://schemas.openxmlformats.org/officeDocument/2006/relationships/hyperlink" Target="https://reunir.unir.net/bitstreams/5bc83c88-e53d-4182-92a4-defbf02114d2/download" TargetMode="External"/><Relationship Id="rId85" Type="http://schemas.openxmlformats.org/officeDocument/2006/relationships/hyperlink" Target="https://arxiv.org/html/2412.13432v3" TargetMode="External"/><Relationship Id="rId88" Type="http://schemas.openxmlformats.org/officeDocument/2006/relationships/hyperlink" Target="https://www.mdpi.com/2076-3417/14/2/879" TargetMode="External"/><Relationship Id="rId87" Type="http://schemas.openxmlformats.org/officeDocument/2006/relationships/hyperlink" Target="https://www.ijcai.org/proceedings/2017/0447.pdf" TargetMode="External"/><Relationship Id="rId89" Type="http://schemas.openxmlformats.org/officeDocument/2006/relationships/hyperlink" Target="https://www.mdpi.com/2079-9292/11/24/4160" TargetMode="External"/><Relationship Id="rId80" Type="http://schemas.openxmlformats.org/officeDocument/2006/relationships/hyperlink" Target="https://www.ijcai.org/Proceedings/11/Papers/440.pdf" TargetMode="External"/><Relationship Id="rId82" Type="http://schemas.openxmlformats.org/officeDocument/2006/relationships/hyperlink" Target="https://pmc.ncbi.nlm.nih.gov/articles/PMC10007624/" TargetMode="External"/><Relationship Id="rId81" Type="http://schemas.openxmlformats.org/officeDocument/2006/relationships/hyperlink" Target="https://www.researchgate.net/publication/221141035_A_matrix_factorization_technique_with_trust_propagation_for_recommendation_in_social_networ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39.png"/><Relationship Id="rId8" Type="http://schemas.openxmlformats.org/officeDocument/2006/relationships/image" Target="media/image62.png"/><Relationship Id="rId73" Type="http://schemas.openxmlformats.org/officeDocument/2006/relationships/image" Target="media/image4.png"/><Relationship Id="rId72" Type="http://schemas.openxmlformats.org/officeDocument/2006/relationships/image" Target="media/image11.png"/><Relationship Id="rId75" Type="http://schemas.openxmlformats.org/officeDocument/2006/relationships/hyperlink" Target="https://www.researchgate.net/publication/261449141_Matrix_Factorization_in_Social_Group_Recommender_Systems" TargetMode="External"/><Relationship Id="rId74" Type="http://schemas.openxmlformats.org/officeDocument/2006/relationships/image" Target="media/image30.png"/><Relationship Id="rId77" Type="http://schemas.openxmlformats.org/officeDocument/2006/relationships/hyperlink" Target="https://www.mdpi.com/1424-8220/22/19/7122" TargetMode="External"/><Relationship Id="rId76" Type="http://schemas.openxmlformats.org/officeDocument/2006/relationships/hyperlink" Target="https://arxiv.org/html/2212.04481v3" TargetMode="External"/><Relationship Id="rId79" Type="http://schemas.openxmlformats.org/officeDocument/2006/relationships/hyperlink" Target="https://labs.engineering.asu.edu/sarwat/wp-content/uploads/sites/26/2014/11/a17-forsati.pdf" TargetMode="External"/><Relationship Id="rId78" Type="http://schemas.openxmlformats.org/officeDocument/2006/relationships/hyperlink" Target="https://www.alphaxiv.org/abs/2109.12843v3" TargetMode="External"/><Relationship Id="rId71" Type="http://schemas.openxmlformats.org/officeDocument/2006/relationships/image" Target="media/image7.png"/><Relationship Id="rId70" Type="http://schemas.openxmlformats.org/officeDocument/2006/relationships/image" Target="media/image31.png"/><Relationship Id="rId131" Type="http://schemas.openxmlformats.org/officeDocument/2006/relationships/hyperlink" Target="https://hub.baai.ac.cn/view/44397" TargetMode="External"/><Relationship Id="rId130" Type="http://schemas.openxmlformats.org/officeDocument/2006/relationships/hyperlink" Target="https://www.alphaxiv.org/abs/2111.07378v2" TargetMode="External"/><Relationship Id="rId62" Type="http://schemas.openxmlformats.org/officeDocument/2006/relationships/image" Target="media/image35.png"/><Relationship Id="rId61" Type="http://schemas.openxmlformats.org/officeDocument/2006/relationships/image" Target="media/image44.png"/><Relationship Id="rId64" Type="http://schemas.openxmlformats.org/officeDocument/2006/relationships/image" Target="media/image20.png"/><Relationship Id="rId63" Type="http://schemas.openxmlformats.org/officeDocument/2006/relationships/image" Target="media/image29.png"/><Relationship Id="rId66" Type="http://schemas.openxmlformats.org/officeDocument/2006/relationships/image" Target="media/image28.png"/><Relationship Id="rId65" Type="http://schemas.openxmlformats.org/officeDocument/2006/relationships/image" Target="media/image32.png"/><Relationship Id="rId68" Type="http://schemas.openxmlformats.org/officeDocument/2006/relationships/image" Target="media/image18.png"/><Relationship Id="rId67" Type="http://schemas.openxmlformats.org/officeDocument/2006/relationships/image" Target="media/image9.png"/><Relationship Id="rId60" Type="http://schemas.openxmlformats.org/officeDocument/2006/relationships/image" Target="media/image60.png"/><Relationship Id="rId69" Type="http://schemas.openxmlformats.org/officeDocument/2006/relationships/image" Target="media/image10.png"/><Relationship Id="rId51" Type="http://schemas.openxmlformats.org/officeDocument/2006/relationships/image" Target="media/image66.png"/><Relationship Id="rId50" Type="http://schemas.openxmlformats.org/officeDocument/2006/relationships/image" Target="media/image58.png"/><Relationship Id="rId53" Type="http://schemas.openxmlformats.org/officeDocument/2006/relationships/image" Target="media/image59.png"/><Relationship Id="rId52" Type="http://schemas.openxmlformats.org/officeDocument/2006/relationships/image" Target="media/image48.png"/><Relationship Id="rId55" Type="http://schemas.openxmlformats.org/officeDocument/2006/relationships/image" Target="media/image63.png"/><Relationship Id="rId54" Type="http://schemas.openxmlformats.org/officeDocument/2006/relationships/image" Target="media/image40.png"/><Relationship Id="rId57" Type="http://schemas.openxmlformats.org/officeDocument/2006/relationships/image" Target="media/image33.png"/><Relationship Id="rId56" Type="http://schemas.openxmlformats.org/officeDocument/2006/relationships/image" Target="media/image56.png"/><Relationship Id="rId59" Type="http://schemas.openxmlformats.org/officeDocument/2006/relationships/image" Target="media/image38.png"/><Relationship Id="rId5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