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u w:val="none"/>
        </w:rPr>
        <w:t>Volga ANPR</w:t>
      </w:r>
    </w:p>
    <w:p>
      <w:pPr>
        <w:pStyle w:val="Heading1"/>
      </w:pPr>
      <w:r>
        <w:t>1 Назначение и архитектура</w:t>
      </w:r>
    </w:p>
    <w:p>
      <w:r>
        <w:t>Volga ANPR распознаёт российские регистрационные знаки на отдельных фотографиях: обычные белые однострочные type1, белые двухстрочные type1a и жёлтые однострочные type1b. На вход передаётся файл или папка, на выходе создаётся CSV. Изображения обрабатываются независимо, без отслеживания объектов между кадрами.</w:t>
      </w:r>
    </w:p>
    <w:p>
      <w:pPr>
        <w:pStyle w:val="Heading2"/>
      </w:pPr>
      <w:r>
        <w:t>Последовательность обработки</w:t>
      </w:r>
    </w:p>
    <w:p>
      <w:r>
        <w:t>Основной YOLO11n-OBB находит поворотные рамки и тип знака. Сохранённый детектор F03/BEST-G дополнительно ищет длинные type1 вне уже найденных рамок. Вырезки выравниваются; для type1a строки разделяются и соединяются перед OCR. CRNN с CTC читает символы. Полный уверенный текст белого формата вместе с однострочной геометрией может исправить ошибочный type1b на type1. Дополнительные результаты выдаются только при полном допустимом тексте.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>
              <w:t>Компонент</w:t>
            </w:r>
          </w:p>
        </w:tc>
        <w:tc>
          <w:tcPr>
            <w:tcW w:type="dxa" w:w="4989"/>
          </w:tcPr>
          <w:p>
            <w:r>
              <w:t>Настройки</w:t>
            </w:r>
          </w:p>
        </w:tc>
      </w:tr>
      <w:tr>
        <w:tc>
          <w:tcPr>
            <w:tcW w:type="dxa" w:w="4989"/>
          </w:tcPr>
          <w:p>
            <w:r>
              <w:t>Детекторы</w:t>
            </w:r>
          </w:p>
        </w:tc>
        <w:tc>
          <w:tcPr>
            <w:tcW w:type="dxa" w:w="4989"/>
          </w:tcPr>
          <w:p>
            <w:r>
              <w:t>Основной FINAL-I и F03/BEST-G</w:t>
            </w:r>
          </w:p>
        </w:tc>
      </w:tr>
      <w:tr>
        <w:tc>
          <w:tcPr>
            <w:tcW w:type="dxa" w:w="4989"/>
          </w:tcPr>
          <w:p>
            <w:r>
              <w:t>Вход детектора</w:t>
            </w:r>
          </w:p>
        </w:tc>
        <w:tc>
          <w:tcPr>
            <w:tcW w:type="dxa" w:w="4989"/>
          </w:tcPr>
          <w:p>
            <w:r>
              <w:t>640; confidence 0,5; NMS IoU 0,5</w:t>
            </w:r>
          </w:p>
        </w:tc>
      </w:tr>
      <w:tr>
        <w:tc>
          <w:tcPr>
            <w:tcW w:type="dxa" w:w="4989"/>
          </w:tcPr>
          <w:p>
            <w:r>
              <w:t>OCR</w:t>
            </w:r>
          </w:p>
        </w:tc>
        <w:tc>
          <w:tcPr>
            <w:tcW w:type="dxa" w:w="4989"/>
          </w:tcPr>
          <w:p>
            <w:r>
              <w:t>CNN, двунаправленные LSTM, CTC</w:t>
            </w:r>
          </w:p>
        </w:tc>
      </w:tr>
      <w:tr>
        <w:tc>
          <w:tcPr>
            <w:tcW w:type="dxa" w:w="4989"/>
          </w:tcPr>
          <w:p>
            <w:r>
              <w:t>Вход OCR</w:t>
            </w:r>
          </w:p>
        </w:tc>
        <w:tc>
          <w:tcPr>
            <w:tcW w:type="dxa" w:w="4989"/>
          </w:tcPr>
          <w:p>
            <w:r>
              <w:t>32 на 160 пикселей</w:t>
            </w:r>
          </w:p>
        </w:tc>
      </w:tr>
      <w:tr>
        <w:tc>
          <w:tcPr>
            <w:tcW w:type="dxa" w:w="4989"/>
          </w:tcPr>
          <w:p>
            <w:r>
              <w:t>Устройства</w:t>
            </w:r>
          </w:p>
        </w:tc>
        <w:tc>
          <w:tcPr>
            <w:tcW w:type="dxa" w:w="4989"/>
          </w:tcPr>
          <w:p>
            <w:r>
              <w:t>CPU или NVIDIA CUDA</w:t>
            </w:r>
          </w:p>
        </w:tc>
      </w:tr>
    </w:tbl>
    <w:p>
      <w:pPr>
        <w:pStyle w:val="Heading2"/>
      </w:pPr>
      <w:r>
        <w:t>Обоснование</w:t>
      </w:r>
    </w:p>
    <w:p>
      <w:r>
        <w:t>Лёгкий детектор выбран с учётом ограниченных вычислительных ресурсов. Поворотные рамки уменьшают влияние наклона номера. Отдельная подготовка двухстрочных знаков позволяет использовать один распознаватель для трёх типов. При этом OBB не заменяет точные перспективные углы; сильный ракурс остаётся источником ошибок.</w:t>
      </w:r>
    </w:p>
    <w:p>
      <w:r>
        <w:t>Код разделён на детектор, геометрию, подготовку OCR, распознавание и правила формата. Для расширения на другой тип или страну можно добавить классы детектора, соответствующий способ выравнивания, алфавит и маску номера. Изменения требуют отдельной валидации по каждому типу.</w:t>
      </w:r>
    </w:p>
    <w:p>
      <w:pPr>
        <w:pStyle w:val="Heading2"/>
      </w:pPr>
      <w:r>
        <w:t>Автономность</w:t>
      </w:r>
    </w:p>
    <w:p>
      <w:r>
        <w:t>В репозитории включены основной детектор, дополнительный F03/BEST-G и OCR. Веса и массивы данных загружаются через Git LFS. Библиотеки устанавливаются перед первым запуском по README.md. Распознавание использует локальные файлы без внешних API; перед запуском проверяются контрольные суммы кода, конфигурации и моделей.</w:t>
      </w:r>
    </w:p>
    <w:p>
      <w:r>
        <w:br w:type="page"/>
      </w:r>
    </w:p>
    <w:p>
      <w:pPr>
        <w:pStyle w:val="Title"/>
      </w:pPr>
      <w:r>
        <w:rPr>
          <w:color w:val="000000"/>
          <w:u w:val="none"/>
        </w:rPr>
        <w:t>Volga ANPR</w:t>
      </w:r>
    </w:p>
    <w:p>
      <w:pPr>
        <w:pStyle w:val="Heading1"/>
      </w:pPr>
      <w:r>
        <w:t>2 Данные и обучение</w:t>
      </w:r>
    </w:p>
    <w:p>
      <w:pPr>
        <w:pStyle w:val="Heading2"/>
      </w:pPr>
      <w:r>
        <w:t>Источники и состав</w:t>
      </w:r>
    </w:p>
    <w:p>
      <w:r>
        <w:t>Использованы процедурно созданные изображения и реальные фотографии из Wikimedia Commons, Roboflow и Kaggle. Авторы, исходные ссылки и лицензии сохранены в dataset/provenance/attribution.csv. Для части Kaggle документ о праве передачи и публикации ещё не приложен; список материалов приведён в dataset/permissions/status.json.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Часть экспорта</w:t>
            </w:r>
          </w:p>
        </w:tc>
        <w:tc>
          <w:tcPr>
            <w:tcW w:type="dxa" w:w="3326"/>
          </w:tcPr>
          <w:p>
            <w:r>
              <w:t>Изображения</w:t>
            </w:r>
          </w:p>
        </w:tc>
        <w:tc>
          <w:tcPr>
            <w:tcW w:type="dxa" w:w="3326"/>
          </w:tcPr>
          <w:p>
            <w:r>
              <w:t>Объекты</w:t>
            </w:r>
          </w:p>
        </w:tc>
      </w:tr>
      <w:tr>
        <w:tc>
          <w:tcPr>
            <w:tcW w:type="dxa" w:w="3326"/>
          </w:tcPr>
          <w:p>
            <w:r>
              <w:t>Реальные вырезки</w:t>
            </w:r>
          </w:p>
        </w:tc>
        <w:tc>
          <w:tcPr>
            <w:tcW w:type="dxa" w:w="3326"/>
          </w:tcPr>
          <w:p>
            <w:r>
              <w:t>109</w:t>
            </w:r>
          </w:p>
        </w:tc>
        <w:tc>
          <w:tcPr>
            <w:tcW w:type="dxa" w:w="3326"/>
          </w:tcPr>
          <w:p>
            <w:r>
              <w:t>109</w:t>
            </w:r>
          </w:p>
        </w:tc>
      </w:tr>
      <w:tr>
        <w:tc>
          <w:tcPr>
            <w:tcW w:type="dxa" w:w="3326"/>
          </w:tcPr>
          <w:p>
            <w:r>
              <w:t>Синтетические сцены</w:t>
            </w:r>
          </w:p>
        </w:tc>
        <w:tc>
          <w:tcPr>
            <w:tcW w:type="dxa" w:w="3326"/>
          </w:tcPr>
          <w:p>
            <w:r>
              <w:t>5000</w:t>
            </w:r>
          </w:p>
        </w:tc>
        <w:tc>
          <w:tcPr>
            <w:tcW w:type="dxa" w:w="3326"/>
          </w:tcPr>
          <w:p>
            <w:r>
              <w:t>5706</w:t>
            </w:r>
          </w:p>
        </w:tc>
      </w:tr>
      <w:tr>
        <w:tc>
          <w:tcPr>
            <w:tcW w:type="dxa" w:w="3326"/>
          </w:tcPr>
          <w:p>
            <w:r>
              <w:t>Реальные type1a</w:t>
            </w:r>
          </w:p>
        </w:tc>
        <w:tc>
          <w:tcPr>
            <w:tcW w:type="dxa" w:w="3326"/>
          </w:tcPr>
          <w:p>
            <w:r>
              <w:t>50</w:t>
            </w:r>
          </w:p>
        </w:tc>
        <w:tc>
          <w:tcPr>
            <w:tcW w:type="dxa" w:w="3326"/>
          </w:tcPr>
          <w:p>
            <w:r>
              <w:t>50</w:t>
            </w:r>
          </w:p>
        </w:tc>
      </w:tr>
      <w:tr>
        <w:tc>
          <w:tcPr>
            <w:tcW w:type="dxa" w:w="3326"/>
          </w:tcPr>
          <w:p>
            <w:r>
              <w:t>Реальные type1b</w:t>
            </w:r>
          </w:p>
        </w:tc>
        <w:tc>
          <w:tcPr>
            <w:tcW w:type="dxa" w:w="3326"/>
          </w:tcPr>
          <w:p>
            <w:r>
              <w:t>59</w:t>
            </w:r>
          </w:p>
        </w:tc>
        <w:tc>
          <w:tcPr>
            <w:tcW w:type="dxa" w:w="3326"/>
          </w:tcPr>
          <w:p>
            <w:r>
              <w:t>59</w:t>
            </w:r>
          </w:p>
        </w:tc>
      </w:tr>
    </w:tbl>
    <w:p>
      <w:r>
        <w:t>Включены реальные вырезки с ранее подтверждённой угловой разметкой. Углы перенесены в координаты вырезки, текст и разбиение сохранены. Предложения без подтверждения не объявляются эталоном. Полные фотографии дополнительного bbox-пула не включены в официальный экспорт. Реальные изображения other отсутствуют.</w:t>
      </w:r>
    </w:p>
    <w:p>
      <w:pPr>
        <w:pStyle w:val="Heading2"/>
      </w:pPr>
      <w:r>
        <w:t>Генерация</w:t>
      </w:r>
    </w:p>
    <w:p>
      <w:r>
        <w:t>Генератор рисует символы, автомобили и фон, применяет перспективу, изменения освещения и другие искажения. Координаты разметки выводятся из тех же преобразований. Seed партий: 20261015, 20261016, 20261017. Дополнительно сохранены 834 синтетические сцены без номеров. Скрипт воспроизведения и зависимости находятся в dataset/generator.</w:t>
      </w:r>
    </w:p>
    <w:p>
      <w:pPr>
        <w:pStyle w:val="Heading2"/>
      </w:pPr>
      <w:r>
        <w:t>Финальная адаптация</w:t>
      </w:r>
    </w:p>
    <w:p>
      <w:r>
        <w:t>Основной детектор дообучался четыре эпохи с начальных весов F03: batch 4, AdamW, learning rate 0,0003, freeze 10, seed 20261019. Использовались 90 реальных train-объектов, 180 процедурных примеров и 19 real val с углами. Реальных type1 в этом обучающем экспорте нет. Дополнительный детектор F03 взят из сохранённого BEST-G.</w:t>
      </w:r>
    </w:p>
    <w:p>
      <w:r>
        <w:t>OCR адаптировался на реальных и синтетических данных: batch 32, AdamW с learning rate 0,0001, доля реальных данных 0,75, до 12 эпох, patience 3, лимит 1200 секунд. Выбор модели выполнялся по реальной валидации. Скрипты, рецепты, начальные веса и точные входы финальной адаптации включены в training. При сборке нового обучения не проводилось.</w:t>
      </w:r>
    </w:p>
    <w:p>
      <w:r>
        <w:br w:type="page"/>
      </w:r>
    </w:p>
    <w:p>
      <w:pPr>
        <w:pStyle w:val="Title"/>
      </w:pPr>
      <w:r>
        <w:rPr>
          <w:color w:val="000000"/>
          <w:u w:val="none"/>
        </w:rPr>
        <w:t>Volga ANPR</w:t>
      </w:r>
    </w:p>
    <w:p>
      <w:pPr>
        <w:pStyle w:val="Heading1"/>
      </w:pPr>
      <w:r>
        <w:t>3 Результаты и скорость</w:t>
      </w:r>
    </w:p>
    <w:p>
      <w:r>
        <w:t>Контроль 25 октября 2026 года сравнил базовую и обновлённую сборки на 93 объектах в 92 изображениях ранее использованной DATA-3 val. Пары определяются по рамкам с IoU не ниже 0,5 без использования текста. Правильный ответ должен совпадать по тексту и типу.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</w:tcPr>
          <w:p>
            <w:r>
              <w:t>Тип</w:t>
            </w:r>
          </w:p>
        </w:tc>
        <w:tc>
          <w:tcPr>
            <w:tcW w:type="dxa" w:w="2494"/>
          </w:tcPr>
          <w:p>
            <w:r>
              <w:t>Объекты</w:t>
            </w:r>
          </w:p>
        </w:tc>
        <w:tc>
          <w:tcPr>
            <w:tcW w:type="dxa" w:w="2494"/>
          </w:tcPr>
          <w:p>
            <w:r>
              <w:t>База верно</w:t>
            </w:r>
          </w:p>
        </w:tc>
        <w:tc>
          <w:tcPr>
            <w:tcW w:type="dxa" w:w="2494"/>
          </w:tcPr>
          <w:p>
            <w:r>
              <w:t>Новая верно</w:t>
            </w:r>
          </w:p>
        </w:tc>
      </w:tr>
      <w:tr>
        <w:tc>
          <w:tcPr>
            <w:tcW w:type="dxa" w:w="2494"/>
          </w:tcPr>
          <w:p>
            <w:r>
              <w:t>type1</w:t>
            </w:r>
          </w:p>
        </w:tc>
        <w:tc>
          <w:tcPr>
            <w:tcW w:type="dxa" w:w="2494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0</w:t>
            </w:r>
          </w:p>
        </w:tc>
        <w:tc>
          <w:tcPr>
            <w:tcW w:type="dxa" w:w="2494"/>
          </w:tcPr>
          <w:p>
            <w:r>
              <w:t>0</w:t>
            </w:r>
          </w:p>
        </w:tc>
      </w:tr>
      <w:tr>
        <w:tc>
          <w:tcPr>
            <w:tcW w:type="dxa" w:w="2494"/>
          </w:tcPr>
          <w:p>
            <w:r>
              <w:t>type1a</w:t>
            </w:r>
          </w:p>
        </w:tc>
        <w:tc>
          <w:tcPr>
            <w:tcW w:type="dxa" w:w="2494"/>
          </w:tcPr>
          <w:p>
            <w:r>
              <w:t>30</w:t>
            </w:r>
          </w:p>
        </w:tc>
        <w:tc>
          <w:tcPr>
            <w:tcW w:type="dxa" w:w="2494"/>
          </w:tcPr>
          <w:p>
            <w:r>
              <w:t>23</w:t>
            </w:r>
          </w:p>
        </w:tc>
        <w:tc>
          <w:tcPr>
            <w:tcW w:type="dxa" w:w="2494"/>
          </w:tcPr>
          <w:p>
            <w:r>
              <w:t>23</w:t>
            </w:r>
          </w:p>
        </w:tc>
      </w:tr>
      <w:tr>
        <w:tc>
          <w:tcPr>
            <w:tcW w:type="dxa" w:w="2494"/>
          </w:tcPr>
          <w:p>
            <w:r>
              <w:t>type1b</w:t>
            </w:r>
          </w:p>
        </w:tc>
        <w:tc>
          <w:tcPr>
            <w:tcW w:type="dxa" w:w="2494"/>
          </w:tcPr>
          <w:p>
            <w:r>
              <w:t>61</w:t>
            </w:r>
          </w:p>
        </w:tc>
        <w:tc>
          <w:tcPr>
            <w:tcW w:type="dxa" w:w="2494"/>
          </w:tcPr>
          <w:p>
            <w:r>
              <w:t>32</w:t>
            </w:r>
          </w:p>
        </w:tc>
        <w:tc>
          <w:tcPr>
            <w:tcW w:type="dxa" w:w="2494"/>
          </w:tcPr>
          <w:p>
            <w:r>
              <w:t>32</w:t>
            </w:r>
          </w:p>
        </w:tc>
      </w:tr>
      <w:tr>
        <w:tc>
          <w:tcPr>
            <w:tcW w:type="dxa" w:w="2494"/>
          </w:tcPr>
          <w:p>
            <w:r>
              <w:t>Всего</w:t>
            </w:r>
          </w:p>
        </w:tc>
        <w:tc>
          <w:tcPr>
            <w:tcW w:type="dxa" w:w="2494"/>
          </w:tcPr>
          <w:p>
            <w:r>
              <w:t>93</w:t>
            </w:r>
          </w:p>
        </w:tc>
        <w:tc>
          <w:tcPr>
            <w:tcW w:type="dxa" w:w="2494"/>
          </w:tcPr>
          <w:p>
            <w:r>
              <w:t>55</w:t>
            </w:r>
          </w:p>
        </w:tc>
        <w:tc>
          <w:tcPr>
            <w:tcW w:type="dxa" w:w="2494"/>
          </w:tcPr>
          <w:p>
            <w:r>
              <w:t>55</w:t>
            </w:r>
          </w:p>
        </w:tc>
      </w:tr>
    </w:tbl>
    <w:p>
      <w:r>
        <w:t>Полное совпадение в обеих сборках составило 55/93, или 59,1%; ранее правильные объекты не потеряны. Это валидация разработки, а не новый закрытый тест. Два примера type1 не дают надёжной оценки обычных номеров.</w:t>
      </w:r>
    </w:p>
    <w:p>
      <w:r>
        <w:t>На ранее открытом public debug обычные номера улучшились с 6/15 до 9/15, двухстрочные сохранили 78/100. Число лишних срабатываний осталось 8. Использован неизменённый оценщик организаторов. Жёлтых номеров в public нет; их сохранение проверено на DATA-3 val: 32/61. Эти наборы не являются независимой проверкой.</w:t>
      </w:r>
    </w:p>
    <w:p>
      <w:pPr>
        <w:pStyle w:val="Heading2"/>
      </w:pPr>
      <w:r>
        <w:t>Защита обычных номеров</w:t>
      </w:r>
    </w:p>
    <w:p>
      <w:r>
        <w:t>Исправление типа опирается на исходные символы, прежние пороги уверенности и наблюдаемую длинную рамку. Символы не подставляются, исходный класс сохраняется в трассе. Дополнительный детектор не заменяет текущие детекции. Его неполные или неуверенные строки отклоняются, чтобы ограничить лишние ответы.</w:t>
      </w:r>
    </w:p>
    <w:p>
      <w:pPr>
        <w:pStyle w:val="Heading2"/>
      </w:pPr>
      <w:r>
        <w:t>Время обработки</w:t>
      </w:r>
    </w:p>
    <w:p>
      <w:r>
        <w:t>На GTX 1060 6 GB выполнен короткий парный замер: 10 фото повторены три раза, по пять прогревов на вариант. Среднее время выросло с 62,15 до 98,10 мс; p95 новой сборки - 121,00 мс. Чтение, декодирование, загрузка моделей и ожидание в окне исключены.</w:t>
      </w:r>
    </w:p>
    <w:p>
      <w:r>
        <w:t>Дополнительный проход увеличивает время обработки. Запас до среднего 100 мс на GTX 1060 небольшой; отдельные кадры дольше. Требование на референсной GTX 1050 Ti не подтверждено. Исторические замеры одного детектора не описывают скорость новой сборки.</w:t>
      </w:r>
    </w:p>
    <w:p>
      <w:r>
        <w:br w:type="page"/>
      </w:r>
    </w:p>
    <w:p>
      <w:pPr>
        <w:pStyle w:val="Title"/>
      </w:pPr>
      <w:r>
        <w:rPr>
          <w:color w:val="000000"/>
          <w:u w:val="none"/>
        </w:rPr>
        <w:t>Volga ANPR</w:t>
      </w:r>
    </w:p>
    <w:p>
      <w:pPr>
        <w:pStyle w:val="Heading1"/>
      </w:pPr>
      <w:r>
        <w:t>4 Запуск, ограничения и состав</w:t>
      </w:r>
    </w:p>
    <w:p>
      <w:pPr>
        <w:pStyle w:val="Heading2"/>
      </w:pPr>
      <w:r>
        <w:t>Запуск</w:t>
      </w:r>
    </w:p>
    <w:p>
      <w:r>
        <w:t>Нужен Windows x64 и CPython 3.12. После клонирования загрузите веса и массивы командой git lfs pull, создайте окружение .venv и установите зависимости по README.md. Получение файлов и установка требуют сети; само распознавание работает офлайн. Команда из корня репозитория для установленного окружения:</w:t>
      </w:r>
    </w:p>
    <w:p>
      <w:r>
        <w:t>.venv\Scripts\python.exe run.py --input INPUT_DIR --output result.csv --device cpu</w:t>
      </w:r>
    </w:p>
    <w:p>
      <w:r>
        <w:t>Для NVIDIA используйте окружение CUDA и --device cuda. Флаг --show открывает фото с результатом; любая клавиша переходит к следующему. Поддерживаются JPG, JPEG, PNG и BMP без обхода подпапок. Выход - UTF-8 CSV с разделителем «;»: image;plate_num;plate_type;confidence. Для номера создаётся строка, при отсутствии результата строк нет.</w:t>
      </w:r>
    </w:p>
    <w:p>
      <w:r>
        <w:t>Рядом сохраняются trace, errors и manifest в JSON. Повреждённые изображения перечисляются отдельно. Если все входы нечитаемы, прежний результат сохраняется. Запись нескольких выходных файлов защищена блокировкой и журналом восстановления.</w:t>
      </w:r>
    </w:p>
    <w:p>
      <w:pPr>
        <w:pStyle w:val="Heading2"/>
      </w:pPr>
      <w:r>
        <w:t>Известные ограничения</w:t>
      </w:r>
    </w:p>
    <w:p>
      <w:r>
        <w:t>Мелкие номера, блики, закрытые символы и сильный ракурс снижают качество. Детектор может неверно определять тип; отдельный обученный класс other отсутствует. Confidence является оценкой символов, а не вероятностью правильности всей строки. Увеличение разрешения не решает эти проблемы универсально.</w:t>
      </w:r>
    </w:p>
    <w:p>
      <w:r>
        <w:t>Рекомендованные объёмы реальной угловой разметки не достигнуты. Условия съёмки 109 реальных вырезок неизвестны и не заполнены предположениями. Документ о разрешении на часть Kaggle не приложен. Работа на другом компьютере и соблюдение задержки на референсном оборудовании отдельно не подтверждены.</w:t>
      </w:r>
    </w:p>
    <w:p>
      <w:pPr>
        <w:pStyle w:val="Heading2"/>
      </w:pPr>
      <w:r>
        <w:t>Материалы</w:t>
      </w:r>
    </w:p>
    <w:p>
      <w:r>
        <w:t>solution - код и три checkpoint; dataset - изображения, разметка, генератор и валидатор; training - материалы финального дообучения; dependency-locks - версии библиотек; evidence - метрики и проверки; licenses - условия сторонних компонентов.</w:t>
      </w:r>
    </w:p>
    <w:p>
      <w:pPr>
        <w:pStyle w:val="Heading2"/>
      </w:pPr>
      <w:r>
        <w:t>Источники</w:t>
      </w:r>
    </w:p>
    <w:p>
      <w:r>
        <w:t>АИС Город. Задание полуфинала «Распознавание нестандартных государственных регистрационных знаков», 2026. Ultralytics: docs.ultralytics.com/models/yolo11/ и docs.ultralytics.com/tasks/obb/; дата обращения 24.10.2026. Авторство и лицензии фотографий перечислены отдельно в dataset/provenance/attribution.csv.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Volga ANPR</dc:title>
  <dc:subject>Пояснительная записка к сборке 25 октября 2026 года</dc:subject>
  <dc:creator>Volga ANPR</dc:creator>
  <cp:keywords/>
  <dc:description/>
  <cp:lastModifiedBy>Volga ANPR</cp:lastModifiedBy>
  <cp:revision>1</cp:revision>
  <dcterms:created xsi:type="dcterms:W3CDTF">2013-12-23T23:15:00Z</dcterms:created>
  <dcterms:modified xsi:type="dcterms:W3CDTF">2013-12-23T23:15:00Z</dcterms:modified>
  <cp:category/>
</cp:coreProperties>
</file>