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Scientific context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Neural Networks (DNNs)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significantly outperformed traditional algorithms, setting new performance benchmarks across a wide spectrum of applications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computer vision, natural language processing, bioinformatics, and healthcare. However, these advancements come at a substantial computational and energy cost. The growing complexity of deep models raises concerns about their scalability, particularly in resource-constrained environments such as mobile devices, edge computing, and embedded systems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has fuelled increasing interest in frugal learning techniques—approaches that aim to maximize performance while minimizing computational overhead, energy consumption, and memory footprint.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promising direction toward sustainable AI is the adoption of Spiking Neural Networks (SNNs)</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00ff"/>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represent the third generation of neural networks. Unlike traditional deep learning architectures that rely on continuous activations, SNNs process information through discrete, event-driven spikes, mimicking the bio-inspired neuronal dynamics of the brain. This spike-based computation not only improves energy efficiency but also offers the potential for real-time, low-latency decision-making when deployed on neuromorphic hardware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event-driven nature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SNNs allows them to operate with significantly lower power consumption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standard artificial neural networks (ANNs), making them highly relevant for green computing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energy-efficient AI. However, training SNNs remains a major challenge. The non-differentiable nature of spike-based activation functions complicates error backpropagation, limiting their scalability to complex tasks beyond simple classification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fully exploit the potential of SNNs, there is a pressing need to explore more sophisticated tasks and novel learning paradigms that go beyond current limitations.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Simultaneously, Generative Adversarial Networks (GANs)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emerged as one of the most influential deep learning paradigms, revolutionizing fields such as image synthesis, domain adaptation, super-resolution, de-occlusion, and text-to-image translation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GANs leverage an adversarial training mechanism between two networks—a generator, which synthesizes realistic data samples, and a discriminator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distinguishes between real and generated data. Despite their success, GANs are inherently computationally expensive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requiring extensive training on large datasets with high memory and power demands. Moreover, traditional GANs rely heavily on artificial neural networks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fail to harness the event-driven efficiency of neuromorphic computation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rtl w:val="0"/>
        </w:rPr>
        <w:t xml:space="preserve">Doctorat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proposal aims to bridge these gaps by developing a novel neuromorphic generative learning paradigm that integrates Spiking Neural Networks with Generative Adversarial Networks. The fusion of these architectures remains a largely unexplored frontier in modern AI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significant potential for energy-efficient generative modelling, biologically plausible learning, and neuromorphic-inspired intelligence.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leveraging event-driven, low-power computation, this research seeks to unlock new capabilities in generative AI while advancing frugal and sustainable learning.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Research challenges</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promising potential of integrating Spiking Neural Networks with Generative Adversarial Networks, as performed in very recent works </w:t>
      </w:r>
      <w:r w:rsidDel="00000000" w:rsidR="00000000" w:rsidRPr="00000000">
        <w:rPr>
          <w:rFonts w:ascii="Times New Roman" w:cs="Times New Roman" w:eastAsia="Times New Roman" w:hAnsi="Times New Roman"/>
          <w:color w:val="0000ff"/>
          <w:rtl w:val="0"/>
        </w:rPr>
        <w:t xml:space="preserve">[10]</w:t>
      </w:r>
      <w:r w:rsidDel="00000000" w:rsidR="00000000" w:rsidRPr="00000000">
        <w:rPr>
          <w:rFonts w:ascii="Times New Roman" w:cs="Times New Roman" w:eastAsia="Times New Roman" w:hAnsi="Times New Roman"/>
          <w:rtl w:val="0"/>
        </w:rPr>
        <w:t xml:space="preserve">, several fundamental challenges must be addressed to develop a robust, efficient, and interpretable neuromorphic generative learning framework. This research will focus on four key challenges:</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Optimizing architecture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remains a major challenge due to the fundamental differences between conventional artificial neural networks and SNNs. The spike-based nature of SNNs imposes unique constraints on network topology, connectivity, and neuron activation functions, making it difficult to adapt existing GAN architectures to this paradigm. Finding the right balance between biological plausibility, computational efficiency, and generative quality requires systematic exploration of architectural configurations. Given the vast search space of possible designs, traditional hand-crafted approaches are inadequate.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stability and mode collapse prevention: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GANs suffer from unstable adversarial training dynamics, often leading to mode collapse, where the generator fails to produce diverse outputs. Introducing SNNs into this adversarial setup exacerbates these issues due to the non-differentiability of spike-based activations, making standard gradient-based optimization methods challenging to apply.</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Temporal dynamics: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Unlike conventional neural networks, where activations are instantaneous, SNNs operate over time, encoding information in their spike patterns and temporal dependencies. This necessitates a reevaluation of how GANs generate and process information, ensuring that temporal consistency is preserved in generated samples. For applications involving sequential data, such as video synthesis or time-series generation, the challenge lies in designing models that effectively capture and exploit temporal correlations while maintaining efficiency.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Explainability and interpretability: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critical concerns in deep generative models, particularly in adversarial learning, where the decision-making process remains largely opaque. Spiking GANs further complicate this issue due to their dynamic, event-driven nature, making it difficult to analyse how and why specific outputs are generated.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Scientific objectives</w:t>
      </w:r>
    </w:p>
    <w:p w:rsidR="00000000" w:rsidDel="00000000" w:rsidP="00000000" w:rsidRDefault="00000000" w:rsidRPr="00000000" w14:paraId="0000001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overarching goal of this Doctorat research is to develop novel Generative Adversarial Networks with Spiking Mechanisms while adopting a frugal and green learning approach. To achieve this, the research is structured around the following key scientific objectives: </w:t>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Optimize a Neuromorphic GAN Architecture.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objective is to develop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optimized spiking GAN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tailored to the constraints and advantages of SNNs. Given the vast architectural design space and the unique properties of SNNs, a Neural Architecture Search approach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employed to automate the discovery of optimal network configurations.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Stable Training Strategies to Prevent Mode Collapse.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objective explores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learning paradigms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biologically inspired learning rules, and novel gradient approximations, to stabilize training and enhance diversity in generated samples.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and Leverage Temporal Dynamics for Generative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objective focuses on developing mechanisms to efficiently capture temporal dependencies in generated outputs.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 Explainability and Interpretability in Spiking GANs.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objective aims to develop rules-based approaches and attention based mechanisms to ensure interpretability from spike-based learning processes.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Evaluate and Benchmark the Proposed Framework in the context of Sepsis as a real world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validate the effectiveness of the developed Spiking GAN framework, rigorous benchmarking will be conducted, focusing on (i) comparative evaluation against traditional deep generative models in terms of generative quality, energy efficiency, and scalability, and  (ii) application-specific case study in sepsis.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Research methodology</w:t>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research methodology is structured to address the scientific objectives and research challenges outlined in this Doctorat proposal. The methodology combines theoretical development, algorithm design, experimental validation, and interdisciplinary collaboration, ensuring both scientific rigor and practical applicability.</w:t>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Theoretical Framework The research will begin with an extensive literature review to establish a solid theoretical foundation for integrating Spiking Neural Networks (SNNs) with Generative Adversarial Networks (GANs). This will involve analyzing existing neuromorphic computing approaches, generative models, and frugal learning techniques. A detailed study of biological learning mechanisms will also guide the adoption of bio-inspired strategies in the proposed model.</w:t>
        <w:br w:type="textWrapping"/>
      </w:r>
      <w:r w:rsidDel="00000000" w:rsidR="00000000" w:rsidRPr="00000000">
        <w:rPr>
          <w:rtl w:val="0"/>
        </w:rPr>
      </w:r>
    </w:p>
    <w:p w:rsidR="00000000" w:rsidDel="00000000" w:rsidP="00000000" w:rsidRDefault="00000000" w:rsidRPr="00000000" w14:paraId="0000002C">
      <w:pPr>
        <w:numPr>
          <w:ilvl w:val="0"/>
          <w:numId w:val="1"/>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Design and Development This phase involves the design and implementation of a novel Spiking GAN architecture. The Neural Architecture Search (NAS) technique will be employed to explore the architectural design space systematically. The goal is to identify configurations that balance computational efficiency, generative quality, and biological plausibility. A hybrid approach, combining rule-based learning and novel gradient approximations, will be developed to overcome the challenges of training stability and mode collapse.</w:t>
        <w:br w:type="textWrapping"/>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Collection and Preprocessing The project will leverage clinical and multi-omics datasets provided by the CHU of Lille &amp; Sfax. Data preprocessing will include cleaning, normalization, and feature engineering to ensure high-quality inputs for the Spiking GAN. Techniques such as synthetic data generation and data augmentation will be used to address the challenges of limited and heterogeneous sepsis-related data.</w:t>
        <w:br w:type="textWrapping"/>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Experimental Evaluation The experimental phase will involve rigorous benchmarking of the Spiking GAN against traditional deep generative models. Key performance metrics will include generative quality, energy efficiency, training stability, and scalability. Specific experiments will focus on the real-world application of predicting corticosteroid responsiveness in sepsis treatment. The generated synthetic data will be used to train predictive models, and the results will be validated against clinical outcomes.</w:t>
        <w:br w:type="textWrapping"/>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Validation and Testing Validation will be conducted through cross-validation techniques and external validation using independent datasets when available. The explainability and interpretability of the Spiking GAN will be assessed using rule-based and attention-based mechanisms. The medical utility of the model will be further evaluated in collaboration with clinical experts from CHU of Lille &amp; Sfax.</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Knowledge Dissemination The final phase will involve documenting the research findings in scientific publications and presenting them at conferences. Collaboration with IEEE journals for potential publication opportunities will also be explored. Additionally, the research outcomes will be shared with the medical community through workshops and interdisciplinary forums, ensuring a broad impact on both AI and healthcare fields.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Sepsis real-world application: an interdisciplinary approach</w:t>
      </w:r>
    </w:p>
    <w:p w:rsidR="00000000" w:rsidDel="00000000" w:rsidP="00000000" w:rsidRDefault="00000000" w:rsidRPr="00000000" w14:paraId="00000033">
      <w:pPr>
        <w:pStyle w:val="Heading2"/>
        <w:numPr>
          <w:ilvl w:val="1"/>
          <w:numId w:val="7"/>
        </w:numPr>
        <w:spacing w:after="0" w:before="0" w:line="240" w:lineRule="auto"/>
        <w:ind w:left="426" w:hanging="14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Context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Sepsis is a life-threatening condition marked by uncontrolled inflammation that leads to severe dysfunction of vital organs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Responsible for nearly a quarter of global deaths, it also leaves half of its survivors with long-term cognitive and motor impairments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Despite its devastating impact, the underlying mechanisms driving the dysregulated host response to pathogens remain poorly understood, and no targeted therapy has been identified. The absence of a definitive diagnostic test further complicates sepsis management, as its complexity necessitates the integration of multiple biomarkers for accurate diagnosis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ff"/>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Corticosteroids (CS) are commonly used as a treatment; however, patient responses vary significantly. While some benefit from CS therapy, others exhibit resistance, leading to treatment failure, complications, and increased mortality. The ability to predict CS responsiveness early is crucial for improving survival and optimizing personalized treatment strategies. This </w:t>
      </w:r>
      <w:r w:rsidDel="00000000" w:rsidR="00000000" w:rsidRPr="00000000">
        <w:rPr>
          <w:rFonts w:ascii="Times New Roman" w:cs="Times New Roman" w:eastAsia="Times New Roman" w:hAnsi="Times New Roman"/>
          <w:rtl w:val="0"/>
        </w:rPr>
        <w:t xml:space="preserve">Doctorat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aims to revolutionize sepsis treatment by leveraging cutting-edge neuromorphic generative models. Specifically, it will harness advanced SNN-based GANs to address the challenges of limited and heterogeneous sepsis-related data. By generating high-quality synthetic data, this research will facilitate the development of robust predictive models for CS responsiveness, paving the way for more precise, personalized, and effective sepsis treatments.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numPr>
          <w:ilvl w:val="1"/>
          <w:numId w:val="7"/>
        </w:numPr>
        <w:spacing w:after="0" w:before="0" w:line="240" w:lineRule="auto"/>
        <w:ind w:left="426" w:hanging="14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Data and collaboration with medical experts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rtl w:val="0"/>
        </w:rPr>
        <w:t xml:space="preserve">Doctorat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proposal is uniquely positioned at the intersection of artificial intelligence, computational modelling, and clinical research, fostering a highly interdisciplinary approach to tackling sepsis. It benefits from the invaluable support of the</w:t>
      </w:r>
      <w:r w:rsidDel="00000000" w:rsidR="00000000" w:rsidRPr="00000000">
        <w:rPr>
          <w:rFonts w:ascii="Times New Roman" w:cs="Times New Roman" w:eastAsia="Times New Roman" w:hAnsi="Times New Roman"/>
          <w:rtl w:val="0"/>
        </w:rPr>
        <w:t xml:space="preserve"> CHU of Lille &amp; Sfax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collaboration presents an exceptional opportunity to integrate expertise from both the medical and AI communities, driving innovation through the seamless fusion of clinical knowledge and advanced machine learning techniques.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engaging with leading sepsis specialists and biomedical researchers, both nationally and internationally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ensures that AI-driven methodologies are deeply grounded in real-world clinical needs.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interdisciplinary framework enhances the potential for meaningful healthcare advancements, ensuring that the models developed are not only computationally powerful but also clinically relevant. The continuous exchange of knowledge between AI scientists, clinicians, and biostatisticians will refine the predictive modelling approaches, ensuring their robustness, interpretability, and medical utility.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w:t>
      </w:r>
      <w:r w:rsidDel="00000000" w:rsidR="00000000" w:rsidRPr="00000000">
        <w:rPr>
          <w:rFonts w:ascii="Times New Roman" w:cs="Times New Roman" w:eastAsia="Times New Roman" w:hAnsi="Times New Roman"/>
          <w:rtl w:val="0"/>
        </w:rPr>
        <w:t xml:space="preserve">Doctorat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supervisor, Zaineb Chelly-Dagdia’s affiliation with </w:t>
      </w:r>
      <w:r w:rsidDel="00000000" w:rsidR="00000000" w:rsidRPr="00000000">
        <w:rPr>
          <w:rFonts w:ascii="Times New Roman" w:cs="Times New Roman" w:eastAsia="Times New Roman" w:hAnsi="Times New Roman"/>
          <w:rtl w:val="0"/>
        </w:rPr>
        <w:t xml:space="preserve">University of Lille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guarantees sustained access to critical sepsis clinical data, creating a secure and resource-rich environment for experimentation.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Zaineb Chelly-Dagdia leads the Artificial Intelligence Work Package within </w:t>
      </w:r>
      <w:r w:rsidDel="00000000" w:rsidR="00000000" w:rsidRPr="00000000">
        <w:rPr>
          <w:rFonts w:ascii="Times New Roman" w:cs="Times New Roman" w:eastAsia="Times New Roman" w:hAnsi="Times New Roman"/>
          <w:rtl w:val="0"/>
        </w:rPr>
        <w:t xml:space="preserve">CHU of Lille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will leverage extensive clinical and multi-omics cohorts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through the Assistance Publique–Hôpitaux de </w:t>
      </w:r>
      <w:r w:rsidDel="00000000" w:rsidR="00000000" w:rsidRPr="00000000">
        <w:rPr>
          <w:rFonts w:ascii="Times New Roman" w:cs="Times New Roman" w:eastAsia="Times New Roman" w:hAnsi="Times New Roman"/>
          <w:rtl w:val="0"/>
        </w:rPr>
        <w:t xml:space="preserve">Lille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(APH</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a solid empirical foundation. These cohorts will be instrumental in validating the neuromorphic generative AI framework and its potential for enhancing sepsis diagnosis and treatment strategies.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scientific rigor and translational impact, the </w:t>
      </w:r>
      <w:r w:rsidDel="00000000" w:rsidR="00000000" w:rsidRPr="00000000">
        <w:rPr>
          <w:rFonts w:ascii="Times New Roman" w:cs="Times New Roman" w:eastAsia="Times New Roman" w:hAnsi="Times New Roman"/>
          <w:rtl w:val="0"/>
        </w:rPr>
        <w:t xml:space="preserve">CHU of Lille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Scientific Committee will oversee the </w:t>
      </w:r>
      <w:r w:rsidDel="00000000" w:rsidR="00000000" w:rsidRPr="00000000">
        <w:rPr>
          <w:rFonts w:ascii="Times New Roman" w:cs="Times New Roman" w:eastAsia="Times New Roman" w:hAnsi="Times New Roman"/>
          <w:rtl w:val="0"/>
        </w:rPr>
        <w:t xml:space="preserve">Doctorat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thesis, offering strategic guidance and ensuring alignment with both institutional and broader research objectives. This structured, interdisciplinary supervision will not only enhance the scientific depth and medical applicability of the research but also pave the way for high-impact contributions to both AI and precision medicine.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Preliminary Doctorat timeline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Doctorat research is structured over a 3-year period, with well-defined phases to ensure systematic progress and achieve the scientific objectives outlined in the proposal.</w:t>
      </w:r>
    </w:p>
    <w:p w:rsidR="00000000" w:rsidDel="00000000" w:rsidP="00000000" w:rsidRDefault="00000000" w:rsidRPr="00000000" w14:paraId="0000004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1: Foundations and Initial Development:</w:t>
      </w:r>
    </w:p>
    <w:p w:rsidR="00000000" w:rsidDel="00000000" w:rsidP="00000000" w:rsidRDefault="00000000" w:rsidRPr="00000000" w14:paraId="0000004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on Spiking Neural Networks (SNNs), Generative Adversarial Networks (GANs), and frugal learning methodologies.</w:t>
      </w:r>
    </w:p>
    <w:p w:rsidR="00000000" w:rsidDel="00000000" w:rsidP="00000000" w:rsidRDefault="00000000" w:rsidRPr="00000000" w14:paraId="00000046">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conceptual framework and establish the theoretical foundation of the neuromorphic GAN model.</w:t>
      </w:r>
    </w:p>
    <w:p w:rsidR="00000000" w:rsidDel="00000000" w:rsidP="00000000" w:rsidRDefault="00000000" w:rsidRPr="00000000" w14:paraId="00000047">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the initial version of the spiking GAN architecture.</w:t>
      </w:r>
    </w:p>
    <w:p w:rsidR="00000000" w:rsidDel="00000000" w:rsidP="00000000" w:rsidRDefault="00000000" w:rsidRPr="00000000" w14:paraId="00000048">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collaboration with medical experts to understand the sepsis data and clinical requirements.</w:t>
      </w:r>
    </w:p>
    <w:p w:rsidR="00000000" w:rsidDel="00000000" w:rsidP="00000000" w:rsidRDefault="00000000" w:rsidRPr="00000000" w14:paraId="00000049">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 relevant workshops and conferences to gather insights and refine the research approach.</w:t>
      </w:r>
    </w:p>
    <w:p w:rsidR="00000000" w:rsidDel="00000000" w:rsidP="00000000" w:rsidRDefault="00000000" w:rsidRPr="00000000" w14:paraId="0000004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 Model Development and Validation:</w:t>
      </w:r>
    </w:p>
    <w:p w:rsidR="00000000" w:rsidDel="00000000" w:rsidP="00000000" w:rsidRDefault="00000000" w:rsidRPr="00000000" w14:paraId="0000004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 the neuromorphic GAN architecture through iterative design and testing.</w:t>
      </w:r>
    </w:p>
    <w:p w:rsidR="00000000" w:rsidDel="00000000" w:rsidP="00000000" w:rsidRDefault="00000000" w:rsidRPr="00000000" w14:paraId="0000004E">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stable training strategies to address mode collapse and enhance model performance.</w:t>
      </w:r>
    </w:p>
    <w:p w:rsidR="00000000" w:rsidDel="00000000" w:rsidP="00000000" w:rsidRDefault="00000000" w:rsidRPr="00000000" w14:paraId="0000004F">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and test methods for capturing temporal dynamics in generative outputs.</w:t>
      </w:r>
    </w:p>
    <w:p w:rsidR="00000000" w:rsidDel="00000000" w:rsidP="00000000" w:rsidRDefault="00000000" w:rsidRPr="00000000" w14:paraId="00000050">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 with clinicians to integrate domain-specific insights into the model.</w:t>
      </w:r>
    </w:p>
    <w:p w:rsidR="00000000" w:rsidDel="00000000" w:rsidP="00000000" w:rsidRDefault="00000000" w:rsidRPr="00000000" w14:paraId="00000051">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the model using sepsis data, focusing on predictive accuracy and energy efficiency.</w:t>
      </w:r>
    </w:p>
    <w:p w:rsidR="00000000" w:rsidDel="00000000" w:rsidP="00000000" w:rsidRDefault="00000000" w:rsidRPr="00000000" w14:paraId="00000052">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 preliminary findings in peer-reviewed journals and present at conferences.</w:t>
      </w:r>
    </w:p>
    <w:p w:rsidR="00000000" w:rsidDel="00000000" w:rsidP="00000000" w:rsidRDefault="00000000" w:rsidRPr="00000000" w14:paraId="0000005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3: Finalization, Benchmarking, and Dissemination:</w:t>
      </w:r>
    </w:p>
    <w:p w:rsidR="00000000" w:rsidDel="00000000" w:rsidP="00000000" w:rsidRDefault="00000000" w:rsidRPr="00000000" w14:paraId="0000005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extensive benchmarking against traditional generative models.</w:t>
      </w:r>
    </w:p>
    <w:p w:rsidR="00000000" w:rsidDel="00000000" w:rsidP="00000000" w:rsidRDefault="00000000" w:rsidRPr="00000000" w14:paraId="00000057">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the sepsis application case study, demonstrating clinical relevance.</w:t>
      </w:r>
    </w:p>
    <w:p w:rsidR="00000000" w:rsidDel="00000000" w:rsidP="00000000" w:rsidRDefault="00000000" w:rsidRPr="00000000" w14:paraId="00000058">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the Doctorat dissertation, incorporating feedback from supervisors and the scientific committee.</w:t>
      </w:r>
    </w:p>
    <w:p w:rsidR="00000000" w:rsidDel="00000000" w:rsidP="00000000" w:rsidRDefault="00000000" w:rsidRPr="00000000" w14:paraId="00000059">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final research papers to high-impact journals.</w:t>
      </w:r>
    </w:p>
    <w:p w:rsidR="00000000" w:rsidDel="00000000" w:rsidP="00000000" w:rsidRDefault="00000000" w:rsidRPr="00000000" w14:paraId="0000005A">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 the Doctorat thesis and explore opportunities for future research or practical deployment of the developed model.</w:t>
      </w:r>
    </w:p>
    <w:p w:rsidR="00000000" w:rsidDel="00000000" w:rsidP="00000000" w:rsidRDefault="00000000" w:rsidRPr="00000000" w14:paraId="0000005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structured timeline ensures a balanced progression of theoretical research, practical implementation, and academic dissemination, aligning with both the Doctorat objectives and broader institutional goals.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Expected contributions, and scientific and social impact </w:t>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Doctorat research is expected to make significant contributions to both the scientific community and society at large by advancing the state of the art in neuromorphic generative learning and promoting sustainable AI technologies.</w:t>
      </w:r>
    </w:p>
    <w:p w:rsidR="00000000" w:rsidDel="00000000" w:rsidP="00000000" w:rsidRDefault="00000000" w:rsidRPr="00000000" w14:paraId="0000006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scientific contributions are:</w:t>
      </w:r>
    </w:p>
    <w:p w:rsidR="00000000" w:rsidDel="00000000" w:rsidP="00000000" w:rsidRDefault="00000000" w:rsidRPr="00000000" w14:paraId="00000063">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 Neuromorphic Generative Framework: The development of a Generative Adversarial Network (GAN) integrated with Spiking Neural Networks (SNNs) will introduce a groundbreaking approach to generative learning. This fusion is anticipated to enhance energy efficiency, reduce computational complexity, and provide a biologically plausible learning paradigm.</w:t>
        <w:br w:type="textWrapping"/>
      </w:r>
    </w:p>
    <w:p w:rsidR="00000000" w:rsidDel="00000000" w:rsidP="00000000" w:rsidRDefault="00000000" w:rsidRPr="00000000" w14:paraId="00000065">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Innovative Training Strategies: By introducing novel gradient approximation techniques and biologically inspired learning rules, this research will contribute to stabilizing adversarial training and preventing mode collapse in GANs, particularly within the challenging context of spiking mechanisms.</w:t>
        <w:br w:type="textWrapping"/>
      </w:r>
    </w:p>
    <w:p w:rsidR="00000000" w:rsidDel="00000000" w:rsidP="00000000" w:rsidRDefault="00000000" w:rsidRPr="00000000" w14:paraId="00000066">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Advancement in Temporal Dynamics: The project will offer new methodologies for leveraging temporal dependencies in spiking GANs, which could impact applications requiring sequential data generation, such as video synthesis and time-series analysis.</w:t>
        <w:br w:type="textWrapping"/>
      </w:r>
    </w:p>
    <w:p w:rsidR="00000000" w:rsidDel="00000000" w:rsidP="00000000" w:rsidRDefault="00000000" w:rsidRPr="00000000" w14:paraId="00000067">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Explainability in AI: Through the integration of rule-based and attention-based mechanisms, this research aims to enhance the interpretability of spiking GANs, making AI systems more transparent and trustworthy.</w:t>
        <w:br w:type="textWrapping"/>
      </w:r>
    </w:p>
    <w:p w:rsidR="00000000" w:rsidDel="00000000" w:rsidP="00000000" w:rsidRDefault="00000000" w:rsidRPr="00000000" w14:paraId="00000068">
      <w:pPr>
        <w:numPr>
          <w:ilvl w:val="0"/>
          <w:numId w:val="2"/>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to Sepsis Treatment: The proposed framework will be evaluated in a real-world medical context, specifically addressing the challenges of sepsis diagnosis and corticosteroid treatment responsiveness prediction. This validation could establish a new benchmark for AI-driven healthcare solutions.</w:t>
        <w:br w:type="textWrapping"/>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social and environmental impacts are:</w:t>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to Green Computing: The frugal and green learning approach proposed in this project aligns with global efforts to reduce the carbon footprint of AI technologies, promoting sustainability in high-performance computing.</w:t>
        <w:br w:type="textWrapping"/>
      </w:r>
    </w:p>
    <w:p w:rsidR="00000000" w:rsidDel="00000000" w:rsidP="00000000" w:rsidRDefault="00000000" w:rsidRPr="00000000" w14:paraId="0000006C">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Advancement: By improving predictive models for sepsis treatment, this research has the potential to save lives, enhance patient outcomes, and reduce healthcare costs through more personalized and effective therapies.</w:t>
        <w:br w:type="textWrapping"/>
      </w:r>
    </w:p>
    <w:p w:rsidR="00000000" w:rsidDel="00000000" w:rsidP="00000000" w:rsidRDefault="00000000" w:rsidRPr="00000000" w14:paraId="0000006D">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Empowering Medical Research: The generation of high-quality synthetic data using spiking GANs could support medical research in addressing data scarcity and heterogeneity, fostering advancements in biomedical sciences beyond sepsis treatment.</w:t>
        <w:br w:type="textWrapping"/>
      </w:r>
    </w:p>
    <w:p w:rsidR="00000000" w:rsidDel="00000000" w:rsidP="00000000" w:rsidRDefault="00000000" w:rsidRPr="00000000" w14:paraId="0000006E">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Interdisciplinary Collaboration: The project's collaboration with leading medical institutions and experts will strengthen the synergy between AI research and clinical practice, contributing to a more integrated and innovative healthcare ecosystem.</w:t>
        <w:br w:type="textWrapping"/>
      </w:r>
    </w:p>
    <w:p w:rsidR="00000000" w:rsidDel="00000000" w:rsidP="00000000" w:rsidRDefault="00000000" w:rsidRPr="00000000" w14:paraId="0000006F">
      <w:pPr>
        <w:numPr>
          <w:ilvl w:val="0"/>
          <w:numId w:val="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Societal Awareness: By addressing critical healthcare challenges through advanced AI, this research could increase public awareness about the potential of AI technologies in solving real-world problems, promoting acceptance and ethical use of AI-driven solutions.</w:t>
        <w:br w:type="textWrapping"/>
      </w:r>
    </w:p>
    <w:p w:rsidR="00000000" w:rsidDel="00000000" w:rsidP="00000000" w:rsidRDefault="00000000" w:rsidRPr="00000000" w14:paraId="00000070">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Supervision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Zaineb Chelly Dagdia, Professor, University of </w:t>
      </w:r>
      <w:r w:rsidDel="00000000" w:rsidR="00000000" w:rsidRPr="00000000">
        <w:rPr>
          <w:rFonts w:ascii="Times New Roman" w:cs="Times New Roman" w:eastAsia="Times New Roman" w:hAnsi="Times New Roman"/>
          <w:rtl w:val="0"/>
        </w:rPr>
        <w:t xml:space="preserve">Lille, France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Adel M. Alimi, </w:t>
      </w:r>
      <w:r w:rsidDel="00000000" w:rsidR="00000000" w:rsidRPr="00000000">
        <w:rPr>
          <w:rFonts w:ascii="Times New Roman" w:cs="Times New Roman" w:eastAsia="Times New Roman" w:hAnsi="Times New Roman"/>
          <w:rtl w:val="0"/>
        </w:rPr>
        <w:t xml:space="preserve">Professor, University of Sfax, ENIS, Tunisia.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numPr>
          <w:ilvl w:val="0"/>
          <w:numId w:val="7"/>
        </w:numPr>
        <w:spacing w:after="0" w:before="0" w:line="240" w:lineRule="auto"/>
        <w:ind w:left="284" w:hanging="284"/>
        <w:rPr>
          <w:sz w:val="28"/>
          <w:szCs w:val="28"/>
        </w:rPr>
      </w:pPr>
      <w:r w:rsidDel="00000000" w:rsidR="00000000" w:rsidRPr="00000000">
        <w:rPr>
          <w:sz w:val="28"/>
          <w:szCs w:val="28"/>
          <w:rtl w:val="0"/>
        </w:rPr>
        <w:t xml:space="preserve"> References</w:t>
      </w:r>
    </w:p>
    <w:p w:rsidR="00000000" w:rsidDel="00000000" w:rsidP="00000000" w:rsidRDefault="00000000" w:rsidRPr="00000000" w14:paraId="00000076">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color w:val="222222"/>
          <w:highlight w:val="white"/>
          <w:rtl w:val="0"/>
        </w:rPr>
        <w:t xml:space="preserve">Alsuhli, G., Sakellariou, V., Saleh, H., Al-Qutayri, M., Mohammad, B., &amp; Stouraitis, T. (2023). Deep Neural Networks Overview. In </w:t>
      </w:r>
      <w:r w:rsidDel="00000000" w:rsidR="00000000" w:rsidRPr="00000000">
        <w:rPr>
          <w:rFonts w:ascii="Times New Roman" w:cs="Times New Roman" w:eastAsia="Times New Roman" w:hAnsi="Times New Roman"/>
          <w:i w:val="1"/>
          <w:iCs w:val="1"/>
          <w:color w:val="222222"/>
          <w:highlight w:val="white"/>
          <w:rtl w:val="0"/>
        </w:rPr>
        <w:t xml:space="preserve">Number Systems for Deep Neural Network Architectures</w:t>
      </w:r>
      <w:r w:rsidDel="00000000" w:rsidR="00000000" w:rsidRPr="00000000">
        <w:rPr>
          <w:rFonts w:ascii="Times New Roman" w:cs="Times New Roman" w:eastAsia="Times New Roman" w:hAnsi="Times New Roman"/>
          <w:color w:val="222222"/>
          <w:highlight w:val="white"/>
          <w:rtl w:val="0"/>
        </w:rPr>
        <w:t xml:space="preserve"> (pp. 7-15). Cham: Springer Nature Switzerland.</w:t>
      </w:r>
      <w:r w:rsidDel="00000000" w:rsidR="00000000" w:rsidRPr="00000000">
        <w:rPr>
          <w:rtl w:val="0"/>
        </w:rPr>
      </w:r>
    </w:p>
    <w:p w:rsidR="00000000" w:rsidDel="00000000" w:rsidP="00000000" w:rsidRDefault="00000000" w:rsidRPr="00000000" w14:paraId="0000007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color w:val="222222"/>
          <w:highlight w:val="white"/>
          <w:rtl w:val="0"/>
        </w:rPr>
        <w:t xml:space="preserve">Latha, R. S., Sreekanth, G. R. R., Suganthe, R. C., &amp; Selvaraj, R. E. (2021, January). A survey on the applications of Deep Neural Networks. In </w:t>
      </w:r>
      <w:r w:rsidDel="00000000" w:rsidR="00000000" w:rsidRPr="00000000">
        <w:rPr>
          <w:rFonts w:ascii="Times New Roman" w:cs="Times New Roman" w:eastAsia="Times New Roman" w:hAnsi="Times New Roman"/>
          <w:i w:val="1"/>
          <w:iCs w:val="1"/>
          <w:color w:val="222222"/>
          <w:highlight w:val="white"/>
          <w:rtl w:val="0"/>
        </w:rPr>
        <w:t xml:space="preserve">2021 International Conference on Computer Communication and Informatics (ICCCI)</w:t>
      </w:r>
      <w:r w:rsidDel="00000000" w:rsidR="00000000" w:rsidRPr="00000000">
        <w:rPr>
          <w:rFonts w:ascii="Times New Roman" w:cs="Times New Roman" w:eastAsia="Times New Roman" w:hAnsi="Times New Roman"/>
          <w:color w:val="222222"/>
          <w:highlight w:val="white"/>
          <w:rtl w:val="0"/>
        </w:rPr>
        <w:t xml:space="preserve"> (pp. 1-3). IEEE.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222222"/>
          <w:highlight w:val="white"/>
          <w:rtl w:val="0"/>
        </w:rPr>
        <w:t xml:space="preserve">Liu, H. I., Galindo, M., Xie, H., Wong, L. K., Shuai, H. H., Li, Y. H., &amp; Cheng, W. H. (2024). Lightweight deep learning for resource-constrained environments: A survey. </w:t>
      </w:r>
      <w:r w:rsidDel="00000000" w:rsidR="00000000" w:rsidRPr="00000000">
        <w:rPr>
          <w:rFonts w:ascii="Times New Roman" w:cs="Times New Roman" w:eastAsia="Times New Roman" w:hAnsi="Times New Roman"/>
          <w:i w:val="1"/>
          <w:iCs w:val="1"/>
          <w:color w:val="222222"/>
          <w:highlight w:val="white"/>
          <w:rtl w:val="0"/>
        </w:rPr>
        <w:t xml:space="preserve">ACM Computing Surveys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56</w:t>
      </w:r>
      <w:r w:rsidDel="00000000" w:rsidR="00000000" w:rsidRPr="00000000">
        <w:rPr>
          <w:rFonts w:ascii="Times New Roman" w:cs="Times New Roman" w:eastAsia="Times New Roman" w:hAnsi="Times New Roman"/>
          <w:color w:val="222222"/>
          <w:highlight w:val="white"/>
          <w:rtl w:val="0"/>
        </w:rPr>
        <w:t xml:space="preserve">(10), 1-42.</w:t>
      </w:r>
      <w:r w:rsidDel="00000000" w:rsidR="00000000" w:rsidRPr="00000000">
        <w:rPr>
          <w:rtl w:val="0"/>
        </w:rPr>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color w:val="222222"/>
          <w:highlight w:val="white"/>
          <w:rtl w:val="0"/>
        </w:rPr>
        <w:t xml:space="preserve">Dampfhoffer, M., Mesquida, T., Valentian, A., &amp; Anghel, L. (2023). Backpropagation-based learning techniques for deep spiking neural networks: A survey. </w:t>
      </w:r>
      <w:r w:rsidDel="00000000" w:rsidR="00000000" w:rsidRPr="00000000">
        <w:rPr>
          <w:rFonts w:ascii="Times New Roman" w:cs="Times New Roman" w:eastAsia="Times New Roman" w:hAnsi="Times New Roman"/>
          <w:i w:val="1"/>
          <w:iCs w:val="1"/>
          <w:color w:val="222222"/>
          <w:highlight w:val="white"/>
          <w:rtl w:val="0"/>
        </w:rPr>
        <w:t xml:space="preserve">IEEE Transactions on Neural Networks and Learning Systems</w:t>
      </w:r>
      <w:r w:rsidDel="00000000" w:rsidR="00000000" w:rsidRPr="00000000">
        <w:rPr>
          <w:rFonts w:ascii="Times New Roman" w:cs="Times New Roman" w:eastAsia="Times New Roman" w:hAnsi="Times New Roman"/>
          <w:color w:val="222222"/>
          <w:highlight w:val="white"/>
          <w:rtl w:val="0"/>
        </w:rPr>
        <w:t xml:space="preserve">.</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color w:val="222222"/>
          <w:highlight w:val="white"/>
          <w:rtl w:val="0"/>
        </w:rPr>
        <w:t xml:space="preserve">Lee, H., Jang, Y., Jung, D., Song, S., &amp; Kim, J. (2024, November). Rearchitecting a Neuromorphic Processor for Spike-Driven Brain-Computer Interfacing. In </w:t>
      </w:r>
      <w:r w:rsidDel="00000000" w:rsidR="00000000" w:rsidRPr="00000000">
        <w:rPr>
          <w:rFonts w:ascii="Times New Roman" w:cs="Times New Roman" w:eastAsia="Times New Roman" w:hAnsi="Times New Roman"/>
          <w:i w:val="1"/>
          <w:iCs w:val="1"/>
          <w:color w:val="222222"/>
          <w:highlight w:val="white"/>
          <w:rtl w:val="0"/>
        </w:rPr>
        <w:t xml:space="preserve">2024 57th IEEE/ACM International Symposium on Microarchitecture (MICRO)</w:t>
      </w:r>
      <w:r w:rsidDel="00000000" w:rsidR="00000000" w:rsidRPr="00000000">
        <w:rPr>
          <w:rFonts w:ascii="Times New Roman" w:cs="Times New Roman" w:eastAsia="Times New Roman" w:hAnsi="Times New Roman"/>
          <w:color w:val="222222"/>
          <w:highlight w:val="white"/>
          <w:rtl w:val="0"/>
        </w:rPr>
        <w:t xml:space="preserve"> (pp. 1073-1089). IEEE.</w:t>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color w:val="222222"/>
          <w:highlight w:val="white"/>
          <w:rtl w:val="0"/>
        </w:rPr>
        <w:t xml:space="preserve">Wickramasinghe, B., Chowdhury, S. S., Kosta, A. K., Ponghiran, W., &amp; Roy, K. (2023). Unlocking the potential of spiking neural networks: Understanding the what, why, and where. </w:t>
      </w:r>
      <w:r w:rsidDel="00000000" w:rsidR="00000000" w:rsidRPr="00000000">
        <w:rPr>
          <w:rFonts w:ascii="Times New Roman" w:cs="Times New Roman" w:eastAsia="Times New Roman" w:hAnsi="Times New Roman"/>
          <w:i w:val="1"/>
          <w:iCs w:val="1"/>
          <w:color w:val="222222"/>
          <w:highlight w:val="white"/>
          <w:rtl w:val="0"/>
        </w:rPr>
        <w:t xml:space="preserve">IEEE Transactions on Cognitive and Developmental Systems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16</w:t>
      </w:r>
      <w:r w:rsidDel="00000000" w:rsidR="00000000" w:rsidRPr="00000000">
        <w:rPr>
          <w:rFonts w:ascii="Times New Roman" w:cs="Times New Roman" w:eastAsia="Times New Roman" w:hAnsi="Times New Roman"/>
          <w:color w:val="222222"/>
          <w:highlight w:val="white"/>
          <w:rtl w:val="0"/>
        </w:rPr>
        <w:t xml:space="preserve">(5), 1648-1663.</w:t>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color w:val="222222"/>
          <w:highlight w:val="white"/>
          <w:rtl w:val="0"/>
        </w:rPr>
        <w:t xml:space="preserve">Pavan Kumar, M. R., &amp; Jayagopal, P. (2021). Generative adversarial networks: a survey on applications and challenges. </w:t>
      </w:r>
      <w:r w:rsidDel="00000000" w:rsidR="00000000" w:rsidRPr="00000000">
        <w:rPr>
          <w:rFonts w:ascii="Times New Roman" w:cs="Times New Roman" w:eastAsia="Times New Roman" w:hAnsi="Times New Roman"/>
          <w:i w:val="1"/>
          <w:iCs w:val="1"/>
          <w:color w:val="222222"/>
          <w:highlight w:val="white"/>
          <w:rtl w:val="0"/>
        </w:rPr>
        <w:t xml:space="preserve">International Journal of Multimedia Information Retrieval</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10</w:t>
      </w:r>
      <w:r w:rsidDel="00000000" w:rsidR="00000000" w:rsidRPr="00000000">
        <w:rPr>
          <w:rFonts w:ascii="Times New Roman" w:cs="Times New Roman" w:eastAsia="Times New Roman" w:hAnsi="Times New Roman"/>
          <w:color w:val="222222"/>
          <w:highlight w:val="white"/>
          <w:rtl w:val="0"/>
        </w:rPr>
        <w:t xml:space="preserve">(1), 1-24.</w:t>
      </w:r>
      <w:r w:rsidDel="00000000" w:rsidR="00000000" w:rsidRPr="00000000">
        <w:rPr>
          <w:rtl w:val="0"/>
        </w:rPr>
      </w:r>
    </w:p>
    <w:p w:rsidR="00000000" w:rsidDel="00000000" w:rsidP="00000000" w:rsidRDefault="00000000" w:rsidRPr="00000000" w14:paraId="0000007E">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color w:val="222222"/>
          <w:highlight w:val="white"/>
          <w:rtl w:val="0"/>
        </w:rPr>
        <w:t xml:space="preserve">Heng, Y., Yinghua, M., Khan, F. G., Khan, A., Ali, F., AlZubi, A. A., &amp; Hui, Z. (2024). Survey: application and analysis of generative adversarial networks in medical images. </w:t>
      </w:r>
      <w:r w:rsidDel="00000000" w:rsidR="00000000" w:rsidRPr="00000000">
        <w:rPr>
          <w:rFonts w:ascii="Times New Roman" w:cs="Times New Roman" w:eastAsia="Times New Roman" w:hAnsi="Times New Roman"/>
          <w:i w:val="1"/>
          <w:iCs w:val="1"/>
          <w:color w:val="222222"/>
          <w:highlight w:val="white"/>
          <w:rtl w:val="0"/>
        </w:rPr>
        <w:t xml:space="preserve">Artificial Intelligence Review</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58</w:t>
      </w:r>
      <w:r w:rsidDel="00000000" w:rsidR="00000000" w:rsidRPr="00000000">
        <w:rPr>
          <w:rFonts w:ascii="Times New Roman" w:cs="Times New Roman" w:eastAsia="Times New Roman" w:hAnsi="Times New Roman"/>
          <w:color w:val="222222"/>
          <w:highlight w:val="white"/>
          <w:rtl w:val="0"/>
        </w:rPr>
        <w:t xml:space="preserve">(2), 39.</w:t>
      </w:r>
      <w:r w:rsidDel="00000000" w:rsidR="00000000" w:rsidRPr="00000000">
        <w:rPr>
          <w:rtl w:val="0"/>
        </w:rPr>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color w:val="222222"/>
          <w:highlight w:val="white"/>
          <w:rtl w:val="0"/>
        </w:rPr>
        <w:t xml:space="preserve">Bindu, N. M., &amp; Satyanarayana, S. (2025). Designing of GAN for a real-time image processing in neuromorphic system. In </w:t>
      </w:r>
      <w:r w:rsidDel="00000000" w:rsidR="00000000" w:rsidRPr="00000000">
        <w:rPr>
          <w:rFonts w:ascii="Times New Roman" w:cs="Times New Roman" w:eastAsia="Times New Roman" w:hAnsi="Times New Roman"/>
          <w:i w:val="1"/>
          <w:iCs w:val="1"/>
          <w:color w:val="222222"/>
          <w:highlight w:val="white"/>
          <w:rtl w:val="0"/>
        </w:rPr>
        <w:t xml:space="preserve">Primer to Neuromorphic Computing</w:t>
      </w:r>
      <w:r w:rsidDel="00000000" w:rsidR="00000000" w:rsidRPr="00000000">
        <w:rPr>
          <w:rFonts w:ascii="Times New Roman" w:cs="Times New Roman" w:eastAsia="Times New Roman" w:hAnsi="Times New Roman"/>
          <w:color w:val="222222"/>
          <w:highlight w:val="white"/>
          <w:rtl w:val="0"/>
        </w:rPr>
        <w:t xml:space="preserve"> (pp. 21-44). Academic Press.</w:t>
      </w:r>
    </w:p>
    <w:p w:rsidR="00000000" w:rsidDel="00000000" w:rsidP="00000000" w:rsidRDefault="00000000" w:rsidRPr="00000000" w14:paraId="00000080">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color w:val="222222"/>
          <w:highlight w:val="white"/>
          <w:rtl w:val="0"/>
        </w:rPr>
        <w:t xml:space="preserve">Rosenfeld, B., Simeone, O., &amp; Rajendran, B. (2022). Spiking generative adversarial networks with a neural network discriminator: Local training, bayesian models, and continual meta-learning. </w:t>
      </w:r>
      <w:r w:rsidDel="00000000" w:rsidR="00000000" w:rsidRPr="00000000">
        <w:rPr>
          <w:rFonts w:ascii="Times New Roman" w:cs="Times New Roman" w:eastAsia="Times New Roman" w:hAnsi="Times New Roman"/>
          <w:i w:val="1"/>
          <w:iCs w:val="1"/>
          <w:color w:val="222222"/>
          <w:highlight w:val="white"/>
          <w:rtl w:val="0"/>
        </w:rPr>
        <w:t xml:space="preserve">IEEE Transactions on Computers</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71</w:t>
      </w:r>
      <w:r w:rsidDel="00000000" w:rsidR="00000000" w:rsidRPr="00000000">
        <w:rPr>
          <w:rFonts w:ascii="Times New Roman" w:cs="Times New Roman" w:eastAsia="Times New Roman" w:hAnsi="Times New Roman"/>
          <w:color w:val="222222"/>
          <w:highlight w:val="white"/>
          <w:rtl w:val="0"/>
        </w:rPr>
        <w:t xml:space="preserve">(11), 2778-2791.</w:t>
      </w:r>
      <w:r w:rsidDel="00000000" w:rsidR="00000000" w:rsidRPr="00000000">
        <w:rPr>
          <w:rtl w:val="0"/>
        </w:rPr>
      </w:r>
    </w:p>
    <w:p w:rsidR="00000000" w:rsidDel="00000000" w:rsidP="00000000" w:rsidRDefault="00000000" w:rsidRPr="00000000" w14:paraId="00000081">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color w:val="222222"/>
          <w:highlight w:val="white"/>
          <w:rtl w:val="0"/>
        </w:rPr>
        <w:t xml:space="preserve">Suraj, K. P., &amp; Chandran, A. (2021). Sepsis–An Overview. </w:t>
      </w:r>
      <w:r w:rsidDel="00000000" w:rsidR="00000000" w:rsidRPr="00000000">
        <w:rPr>
          <w:rFonts w:ascii="Times New Roman" w:cs="Times New Roman" w:eastAsia="Times New Roman" w:hAnsi="Times New Roman"/>
          <w:i w:val="1"/>
          <w:iCs w:val="1"/>
          <w:color w:val="222222"/>
          <w:highlight w:val="white"/>
          <w:rtl w:val="0"/>
        </w:rPr>
        <w:t xml:space="preserve">Journal of Advanced Lung Health</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1</w:t>
      </w:r>
      <w:r w:rsidDel="00000000" w:rsidR="00000000" w:rsidRPr="00000000">
        <w:rPr>
          <w:rFonts w:ascii="Times New Roman" w:cs="Times New Roman" w:eastAsia="Times New Roman" w:hAnsi="Times New Roman"/>
          <w:color w:val="222222"/>
          <w:highlight w:val="white"/>
          <w:rtl w:val="0"/>
        </w:rPr>
        <w:t xml:space="preserve">(2), 41-49.</w:t>
      </w:r>
      <w:r w:rsidDel="00000000" w:rsidR="00000000" w:rsidRPr="00000000">
        <w:rPr>
          <w:rtl w:val="0"/>
        </w:rPr>
      </w:r>
    </w:p>
    <w:p w:rsidR="00000000" w:rsidDel="00000000" w:rsidP="00000000" w:rsidRDefault="00000000" w:rsidRPr="00000000" w14:paraId="0000008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color w:val="222222"/>
          <w:highlight w:val="white"/>
          <w:rtl w:val="0"/>
        </w:rPr>
        <w:t xml:space="preserve">Granja, M. G., Alves, L. P., Leardini-Tristão, M., Saul, M. E., Bortoni, L. C., de Moraes, F. M., ... &amp; de Castro-Faria-Neto, H. C. (2021). Inflammatory, synaptic, motor, and behavioral alterations induced by gestational sepsis on the offspring at different stages of life. </w:t>
      </w:r>
      <w:r w:rsidDel="00000000" w:rsidR="00000000" w:rsidRPr="00000000">
        <w:rPr>
          <w:rFonts w:ascii="Times New Roman" w:cs="Times New Roman" w:eastAsia="Times New Roman" w:hAnsi="Times New Roman"/>
          <w:i w:val="1"/>
          <w:iCs w:val="1"/>
          <w:color w:val="222222"/>
          <w:highlight w:val="white"/>
          <w:rtl w:val="0"/>
        </w:rPr>
        <w:t xml:space="preserve">Journal of neuroinflammation</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18</w:t>
      </w:r>
      <w:r w:rsidDel="00000000" w:rsidR="00000000" w:rsidRPr="00000000">
        <w:rPr>
          <w:rFonts w:ascii="Times New Roman" w:cs="Times New Roman" w:eastAsia="Times New Roman" w:hAnsi="Times New Roman"/>
          <w:color w:val="222222"/>
          <w:highlight w:val="white"/>
          <w:rtl w:val="0"/>
        </w:rPr>
        <w:t xml:space="preserve">, 1-18.</w:t>
      </w:r>
      <w:r w:rsidDel="00000000" w:rsidR="00000000" w:rsidRPr="00000000">
        <w:rPr>
          <w:rtl w:val="0"/>
        </w:rPr>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color w:val="222222"/>
          <w:highlight w:val="white"/>
          <w:rtl w:val="0"/>
        </w:rPr>
        <w:t xml:space="preserve">Arora, J., Mendelson, A. A., &amp; Fox-Robichaud, A. (2023). Sepsis: network pathophysiology and implications for early diagnosis. </w:t>
      </w:r>
      <w:r w:rsidDel="00000000" w:rsidR="00000000" w:rsidRPr="00000000">
        <w:rPr>
          <w:rFonts w:ascii="Times New Roman" w:cs="Times New Roman" w:eastAsia="Times New Roman" w:hAnsi="Times New Roman"/>
          <w:i w:val="1"/>
          <w:iCs w:val="1"/>
          <w:color w:val="222222"/>
          <w:highlight w:val="white"/>
          <w:rtl w:val="0"/>
        </w:rPr>
        <w:t xml:space="preserve">American Journal of Physiology-Regulatory, Integrative and Comparative Physiology</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324</w:t>
      </w:r>
      <w:r w:rsidDel="00000000" w:rsidR="00000000" w:rsidRPr="00000000">
        <w:rPr>
          <w:rFonts w:ascii="Times New Roman" w:cs="Times New Roman" w:eastAsia="Times New Roman" w:hAnsi="Times New Roman"/>
          <w:color w:val="222222"/>
          <w:highlight w:val="white"/>
          <w:rtl w:val="0"/>
        </w:rPr>
        <w:t xml:space="preserve">(5), R613-R62</w:t>
      </w:r>
      <w:r w:rsidDel="00000000" w:rsidR="00000000" w:rsidRPr="00000000">
        <w:rPr>
          <w:rFonts w:ascii="Arial" w:cs="Arial" w:eastAsia="Arial" w:hAnsi="Arial"/>
          <w:color w:val="222222"/>
          <w:sz w:val="20"/>
          <w:szCs w:val="20"/>
          <w:highlight w:val="white"/>
          <w:rtl w:val="0"/>
        </w:rPr>
        <w:t xml:space="preserve">4.</w:t>
      </w:r>
      <w:r w:rsidDel="00000000" w:rsidR="00000000" w:rsidRPr="00000000">
        <w:rPr>
          <w:rtl w:val="0"/>
        </w:rPr>
      </w:r>
    </w:p>
    <w:sectPr>
      <w:headerReference r:id="rId7" w:type="default"/>
      <w:footerReference r:id="rId8" w:type="default"/>
      <w:pgSz w:h="16838" w:w="11906" w:orient="portrait"/>
      <w:pgMar w:bottom="1411.2" w:top="1411.2" w:left="1411.2" w:right="1411.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Co-Tutelle Doctorat Proposal</w:t>
    </w:r>
  </w:p>
  <w:p w:rsidR="00000000" w:rsidDel="00000000" w:rsidP="00000000" w:rsidRDefault="00000000" w:rsidRPr="00000000" w14:paraId="00000085">
    <w:pPr>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Generative Adversarial Networks with Spiking Mechanisms: </w:t>
    </w:r>
  </w:p>
  <w:p w:rsidR="00000000" w:rsidDel="00000000" w:rsidP="00000000" w:rsidRDefault="00000000" w:rsidRPr="00000000" w14:paraId="00000087">
    <w:pPr>
      <w:spacing w:after="0" w:line="240" w:lineRule="auto"/>
      <w:jc w:val="center"/>
      <w:rPr>
        <w:b w:val="1"/>
        <w:bCs w:val="1"/>
        <w:sz w:val="20"/>
        <w:szCs w:val="20"/>
      </w:rPr>
    </w:pPr>
    <w:r w:rsidDel="00000000" w:rsidR="00000000" w:rsidRPr="00000000">
      <w:rPr>
        <w:rFonts w:ascii="Times New Roman" w:cs="Times New Roman" w:eastAsia="Times New Roman" w:hAnsi="Times New Roman"/>
        <w:b w:val="1"/>
        <w:bCs w:val="1"/>
        <w:sz w:val="32"/>
        <w:szCs w:val="32"/>
        <w:rtl w:val="0"/>
      </w:rPr>
      <w:t xml:space="preserve">A Frugal and Green Learning Approach</w:t>
    </w:r>
    <w:r w:rsidDel="00000000" w:rsidR="00000000" w:rsidRPr="00000000">
      <w:rPr>
        <w:rtl w:val="0"/>
      </w:rPr>
    </w:r>
  </w:p>
  <w:p w:rsidR="00000000" w:rsidDel="00000000" w:rsidP="00000000" w:rsidRDefault="00000000" w:rsidRPr="00000000" w14:paraId="00000088">
    <w:pPr>
      <w:spacing w:after="0" w:line="24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A">
    <w:pPr>
      <w:spacing w:after="0" w:line="240" w:lineRule="auto"/>
      <w:jc w:val="center"/>
      <w:rPr>
        <w:b w:val="1"/>
        <w:b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848" w:hanging="431.9999999999998"/>
      </w:pPr>
      <w:rPr>
        <w:sz w:val="28"/>
        <w:szCs w:val="28"/>
      </w:rPr>
    </w:lvl>
    <w:lvl w:ilvl="1">
      <w:start w:val="1"/>
      <w:numFmt w:val="decimal"/>
      <w:lvlText w:val="%1.%2."/>
      <w:lvlJc w:val="left"/>
      <w:pPr>
        <w:ind w:left="574" w:hanging="576"/>
      </w:pPr>
      <w:rPr/>
    </w:lvl>
    <w:lvl w:ilvl="2">
      <w:start w:val="1"/>
      <w:numFmt w:val="decimal"/>
      <w:lvlText w:val="%1.%2.%3."/>
      <w:lvlJc w:val="left"/>
      <w:pPr>
        <w:ind w:left="718" w:hanging="720"/>
      </w:pPr>
      <w:rPr/>
    </w:lvl>
    <w:lvl w:ilvl="3">
      <w:start w:val="1"/>
      <w:numFmt w:val="decimal"/>
      <w:lvlText w:val="%1.%2.%3.%4."/>
      <w:lvlJc w:val="left"/>
      <w:pPr>
        <w:ind w:left="862" w:hanging="864"/>
      </w:pPr>
      <w:rPr/>
    </w:lvl>
    <w:lvl w:ilvl="4">
      <w:start w:val="1"/>
      <w:numFmt w:val="decimal"/>
      <w:lvlText w:val="%1.%2.%3.%4.%5."/>
      <w:lvlJc w:val="left"/>
      <w:pPr>
        <w:ind w:left="1006" w:hanging="1008"/>
      </w:pPr>
      <w:rPr/>
    </w:lvl>
    <w:lvl w:ilvl="5">
      <w:start w:val="1"/>
      <w:numFmt w:val="decimal"/>
      <w:lvlText w:val="%1.%2.%3.%4.%5.%6."/>
      <w:lvlJc w:val="left"/>
      <w:pPr>
        <w:ind w:left="1150" w:hanging="1152"/>
      </w:pPr>
      <w:rPr/>
    </w:lvl>
    <w:lvl w:ilvl="6">
      <w:start w:val="1"/>
      <w:numFmt w:val="decimal"/>
      <w:lvlText w:val="%1.%2.%3.%4.%5.%6.%7."/>
      <w:lvlJc w:val="left"/>
      <w:pPr>
        <w:ind w:left="1294" w:hanging="1296"/>
      </w:pPr>
      <w:rPr/>
    </w:lvl>
    <w:lvl w:ilvl="7">
      <w:start w:val="1"/>
      <w:numFmt w:val="decimal"/>
      <w:lvlText w:val="%1.%2.%3.%4.%5.%6.%7.%8."/>
      <w:lvlJc w:val="left"/>
      <w:pPr>
        <w:ind w:left="1438" w:hanging="1440"/>
      </w:pPr>
      <w:rPr/>
    </w:lvl>
    <w:lvl w:ilvl="8">
      <w:start w:val="1"/>
      <w:numFmt w:val="decimal"/>
      <w:lvlText w:val="%1.%2.%3.%4.%5.%6.%7.%8.%9."/>
      <w:lvlJc w:val="left"/>
      <w:pPr>
        <w:ind w:left="1582" w:hanging="1584.0000000000005"/>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left="720" w:hanging="360"/>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ind w:left="1440" w:hanging="360"/>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ind w:left="2160" w:hanging="360"/>
    </w:pPr>
    <w:rPr>
      <w:rFonts w:ascii="Play" w:cs="Play" w:eastAsia="Play" w:hAnsi="Play"/>
      <w:color w:val="0a2f40"/>
    </w:rPr>
  </w:style>
  <w:style w:type="paragraph" w:styleId="Heading4">
    <w:name w:val="heading 4"/>
    <w:basedOn w:val="Normal"/>
    <w:next w:val="Normal"/>
    <w:pPr>
      <w:keepNext w:val="1"/>
      <w:keepLines w:val="1"/>
      <w:spacing w:after="0" w:before="40" w:lineRule="auto"/>
      <w:ind w:left="2880" w:hanging="360"/>
    </w:pPr>
    <w:rPr>
      <w:rFonts w:ascii="Play" w:cs="Play" w:eastAsia="Play" w:hAnsi="Play"/>
      <w:i w:val="1"/>
      <w:iCs w:val="1"/>
      <w:color w:val="0f4761"/>
    </w:rPr>
  </w:style>
  <w:style w:type="paragraph" w:styleId="Heading5">
    <w:name w:val="heading 5"/>
    <w:basedOn w:val="Normal"/>
    <w:next w:val="Normal"/>
    <w:pPr>
      <w:keepNext w:val="1"/>
      <w:keepLines w:val="1"/>
      <w:spacing w:after="0" w:before="40" w:lineRule="auto"/>
      <w:ind w:left="3600" w:hanging="360"/>
    </w:pPr>
    <w:rPr>
      <w:rFonts w:ascii="Play" w:cs="Play" w:eastAsia="Play" w:hAnsi="Play"/>
      <w:color w:val="0f4761"/>
    </w:rPr>
  </w:style>
  <w:style w:type="paragraph" w:styleId="Heading6">
    <w:name w:val="heading 6"/>
    <w:basedOn w:val="Normal"/>
    <w:next w:val="Normal"/>
    <w:pPr>
      <w:keepNext w:val="1"/>
      <w:keepLines w:val="1"/>
      <w:spacing w:after="0" w:before="40" w:lineRule="auto"/>
      <w:ind w:left="4320" w:hanging="360"/>
    </w:pPr>
    <w:rPr>
      <w:rFonts w:ascii="Play" w:cs="Play" w:eastAsia="Play" w:hAnsi="Play"/>
      <w:color w:val="0a2f4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C91C4A"/>
    <w:pPr>
      <w:keepNext w:val="1"/>
      <w:keepLines w:val="1"/>
      <w:numPr>
        <w:ilvl w:val="6"/>
        <w:numId w:val="1"/>
      </w:numPr>
      <w:spacing w:after="0" w:before="40"/>
      <w:outlineLvl w:val="6"/>
    </w:pPr>
    <w:rPr>
      <w:rFonts w:asciiTheme="majorHAnsi" w:cstheme="majorBidi" w:eastAsiaTheme="majorEastAsia" w:hAnsiTheme="majorHAnsi"/>
      <w:i w:val="1"/>
      <w:iCs w:val="1"/>
      <w:color w:val="0a2f40" w:themeColor="accent1" w:themeShade="00007F"/>
    </w:rPr>
  </w:style>
  <w:style w:type="paragraph" w:styleId="Heading8">
    <w:name w:val="heading 8"/>
    <w:basedOn w:val="Normal"/>
    <w:next w:val="Normal"/>
    <w:link w:val="Heading8Char"/>
    <w:uiPriority w:val="9"/>
    <w:semiHidden w:val="1"/>
    <w:unhideWhenUsed w:val="1"/>
    <w:qFormat w:val="1"/>
    <w:rsid w:val="00C91C4A"/>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91C4A"/>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70809"/>
    <w:rPr>
      <w:rFonts w:ascii="Times New Roman" w:cs="Times New Roman" w:eastAsia="Times New Roman" w:hAnsi="Times New Roman"/>
      <w:b w:val="1"/>
      <w:bCs w:val="1"/>
      <w:kern w:val="36"/>
      <w:sz w:val="48"/>
      <w:szCs w:val="48"/>
      <w:lang w:eastAsia="fr-FR"/>
    </w:rPr>
  </w:style>
  <w:style w:type="paragraph" w:styleId="IntenseQuote">
    <w:name w:val="Intense Quote"/>
    <w:basedOn w:val="Normal"/>
    <w:next w:val="Normal"/>
    <w:link w:val="IntenseQuoteChar"/>
    <w:uiPriority w:val="30"/>
    <w:qFormat w:val="1"/>
    <w:rsid w:val="00670809"/>
    <w:pPr>
      <w:pBdr>
        <w:top w:color="156082" w:space="10" w:sz="4" w:themeColor="accent1" w:val="single"/>
        <w:bottom w:color="156082" w:space="10" w:sz="4" w:themeColor="accent1" w:val="single"/>
      </w:pBdr>
      <w:spacing w:after="360" w:before="360"/>
      <w:ind w:left="864" w:right="864"/>
      <w:jc w:val="center"/>
    </w:pPr>
    <w:rPr>
      <w:i w:val="1"/>
      <w:iCs w:val="1"/>
      <w:color w:val="156082" w:themeColor="accent1"/>
    </w:rPr>
  </w:style>
  <w:style w:type="character" w:styleId="IntenseQuoteChar" w:customStyle="1">
    <w:name w:val="Intense Quote Char"/>
    <w:basedOn w:val="DefaultParagraphFont"/>
    <w:link w:val="IntenseQuote"/>
    <w:uiPriority w:val="30"/>
    <w:rsid w:val="00670809"/>
    <w:rPr>
      <w:i w:val="1"/>
      <w:iCs w:val="1"/>
      <w:color w:val="156082" w:themeColor="accent1"/>
    </w:rPr>
  </w:style>
  <w:style w:type="paragraph" w:styleId="Header">
    <w:name w:val="header"/>
    <w:basedOn w:val="Normal"/>
    <w:link w:val="HeaderChar"/>
    <w:uiPriority w:val="99"/>
    <w:unhideWhenUsed w:val="1"/>
    <w:rsid w:val="002223DD"/>
    <w:pPr>
      <w:tabs>
        <w:tab w:val="center" w:pos="4536"/>
        <w:tab w:val="right" w:pos="9072"/>
      </w:tabs>
      <w:spacing w:after="0" w:line="240" w:lineRule="auto"/>
    </w:pPr>
  </w:style>
  <w:style w:type="character" w:styleId="HeaderChar" w:customStyle="1">
    <w:name w:val="Header Char"/>
    <w:basedOn w:val="DefaultParagraphFont"/>
    <w:link w:val="Header"/>
    <w:uiPriority w:val="99"/>
    <w:rsid w:val="002223DD"/>
  </w:style>
  <w:style w:type="paragraph" w:styleId="Footer">
    <w:name w:val="footer"/>
    <w:basedOn w:val="Normal"/>
    <w:link w:val="FooterChar"/>
    <w:uiPriority w:val="99"/>
    <w:unhideWhenUsed w:val="1"/>
    <w:rsid w:val="002223DD"/>
    <w:pPr>
      <w:tabs>
        <w:tab w:val="center" w:pos="4536"/>
        <w:tab w:val="right" w:pos="9072"/>
      </w:tabs>
      <w:spacing w:after="0" w:line="240" w:lineRule="auto"/>
    </w:pPr>
  </w:style>
  <w:style w:type="character" w:styleId="FooterChar" w:customStyle="1">
    <w:name w:val="Footer Char"/>
    <w:basedOn w:val="DefaultParagraphFont"/>
    <w:link w:val="Footer"/>
    <w:uiPriority w:val="99"/>
    <w:rsid w:val="002223DD"/>
  </w:style>
  <w:style w:type="character" w:styleId="Heading2Char" w:customStyle="1">
    <w:name w:val="Heading 2 Char"/>
    <w:basedOn w:val="DefaultParagraphFont"/>
    <w:link w:val="Heading2"/>
    <w:uiPriority w:val="9"/>
    <w:rsid w:val="00C91C4A"/>
    <w:rPr>
      <w:rFonts w:asciiTheme="majorHAnsi" w:cstheme="majorBidi" w:eastAsiaTheme="majorEastAsia" w:hAnsiTheme="majorHAnsi"/>
      <w:color w:val="0f4761" w:themeColor="accent1" w:themeShade="0000BF"/>
      <w:sz w:val="26"/>
      <w:szCs w:val="26"/>
    </w:rPr>
  </w:style>
  <w:style w:type="character" w:styleId="Heading3Char" w:customStyle="1">
    <w:name w:val="Heading 3 Char"/>
    <w:basedOn w:val="DefaultParagraphFont"/>
    <w:link w:val="Heading3"/>
    <w:uiPriority w:val="9"/>
    <w:rsid w:val="00C91C4A"/>
    <w:rPr>
      <w:rFonts w:asciiTheme="majorHAnsi" w:cstheme="majorBidi" w:eastAsiaTheme="majorEastAsia" w:hAnsiTheme="majorHAnsi"/>
      <w:color w:val="0a2f40" w:themeColor="accent1" w:themeShade="00007F"/>
    </w:rPr>
  </w:style>
  <w:style w:type="character" w:styleId="Heading4Char" w:customStyle="1">
    <w:name w:val="Heading 4 Char"/>
    <w:basedOn w:val="DefaultParagraphFont"/>
    <w:link w:val="Heading4"/>
    <w:uiPriority w:val="9"/>
    <w:rsid w:val="00C91C4A"/>
    <w:rPr>
      <w:rFonts w:asciiTheme="majorHAnsi" w:cstheme="majorBidi" w:eastAsiaTheme="majorEastAsia" w:hAnsiTheme="majorHAnsi"/>
      <w:i w:val="1"/>
      <w:iCs w:val="1"/>
      <w:color w:val="0f4761" w:themeColor="accent1" w:themeShade="0000BF"/>
    </w:rPr>
  </w:style>
  <w:style w:type="character" w:styleId="Heading5Char" w:customStyle="1">
    <w:name w:val="Heading 5 Char"/>
    <w:basedOn w:val="DefaultParagraphFont"/>
    <w:link w:val="Heading5"/>
    <w:uiPriority w:val="9"/>
    <w:semiHidden w:val="1"/>
    <w:rsid w:val="00C91C4A"/>
    <w:rPr>
      <w:rFonts w:asciiTheme="majorHAnsi" w:cstheme="majorBidi" w:eastAsiaTheme="majorEastAsia" w:hAnsiTheme="majorHAnsi"/>
      <w:color w:val="0f4761" w:themeColor="accent1" w:themeShade="0000BF"/>
    </w:rPr>
  </w:style>
  <w:style w:type="character" w:styleId="Heading6Char" w:customStyle="1">
    <w:name w:val="Heading 6 Char"/>
    <w:basedOn w:val="DefaultParagraphFont"/>
    <w:link w:val="Heading6"/>
    <w:uiPriority w:val="9"/>
    <w:semiHidden w:val="1"/>
    <w:rsid w:val="00C91C4A"/>
    <w:rPr>
      <w:rFonts w:asciiTheme="majorHAnsi" w:cstheme="majorBidi" w:eastAsiaTheme="majorEastAsia" w:hAnsiTheme="majorHAnsi"/>
      <w:color w:val="0a2f40" w:themeColor="accent1" w:themeShade="00007F"/>
    </w:rPr>
  </w:style>
  <w:style w:type="character" w:styleId="Heading7Char" w:customStyle="1">
    <w:name w:val="Heading 7 Char"/>
    <w:basedOn w:val="DefaultParagraphFont"/>
    <w:link w:val="Heading7"/>
    <w:uiPriority w:val="9"/>
    <w:semiHidden w:val="1"/>
    <w:rsid w:val="00C91C4A"/>
    <w:rPr>
      <w:rFonts w:asciiTheme="majorHAnsi" w:cstheme="majorBidi" w:eastAsiaTheme="majorEastAsia" w:hAnsiTheme="majorHAnsi"/>
      <w:i w:val="1"/>
      <w:iCs w:val="1"/>
      <w:color w:val="0a2f40" w:themeColor="accent1" w:themeShade="00007F"/>
    </w:rPr>
  </w:style>
  <w:style w:type="character" w:styleId="Heading8Char" w:customStyle="1">
    <w:name w:val="Heading 8 Char"/>
    <w:basedOn w:val="DefaultParagraphFont"/>
    <w:link w:val="Heading8"/>
    <w:uiPriority w:val="9"/>
    <w:semiHidden w:val="1"/>
    <w:rsid w:val="00C91C4A"/>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91C4A"/>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3578CD"/>
    <w:pPr>
      <w:ind w:left="720"/>
      <w:contextualSpacing w:val="1"/>
    </w:pPr>
  </w:style>
  <w:style w:type="paragraph" w:styleId="FootnoteText">
    <w:name w:val="footnote text"/>
    <w:basedOn w:val="Normal"/>
    <w:link w:val="FootnoteTextChar"/>
    <w:uiPriority w:val="99"/>
    <w:semiHidden w:val="1"/>
    <w:unhideWhenUsed w:val="1"/>
    <w:rsid w:val="00E92602"/>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92602"/>
    <w:rPr>
      <w:sz w:val="20"/>
      <w:szCs w:val="20"/>
    </w:rPr>
  </w:style>
  <w:style w:type="character" w:styleId="FootnoteReference">
    <w:name w:val="footnote reference"/>
    <w:basedOn w:val="DefaultParagraphFont"/>
    <w:uiPriority w:val="99"/>
    <w:semiHidden w:val="1"/>
    <w:unhideWhenUsed w:val="1"/>
    <w:rsid w:val="00E92602"/>
    <w:rPr>
      <w:vertAlign w:val="superscript"/>
    </w:rPr>
  </w:style>
  <w:style w:type="character" w:styleId="Hyperlink">
    <w:name w:val="Hyperlink"/>
    <w:basedOn w:val="DefaultParagraphFont"/>
    <w:uiPriority w:val="99"/>
    <w:unhideWhenUsed w:val="1"/>
    <w:rsid w:val="00E92602"/>
    <w:rPr>
      <w:color w:val="467886" w:themeColor="hyperlink"/>
      <w:u w:val="single"/>
    </w:rPr>
  </w:style>
  <w:style w:type="character" w:styleId="UnresolvedMention">
    <w:name w:val="Unresolved Mention"/>
    <w:basedOn w:val="DefaultParagraphFont"/>
    <w:uiPriority w:val="99"/>
    <w:semiHidden w:val="1"/>
    <w:unhideWhenUsed w:val="1"/>
    <w:rsid w:val="00E92602"/>
    <w:rPr>
      <w:color w:val="605e5c"/>
      <w:shd w:color="auto" w:fill="e1dfdd" w:val="clear"/>
    </w:rPr>
  </w:style>
  <w:style w:type="paragraph" w:styleId="NormalWeb">
    <w:name w:val="Normal (Web)"/>
    <w:basedOn w:val="Normal"/>
    <w:uiPriority w:val="99"/>
    <w:semiHidden w:val="1"/>
    <w:unhideWhenUsed w:val="1"/>
    <w:rsid w:val="00AD30AD"/>
    <w:pPr>
      <w:spacing w:after="100" w:afterAutospacing="1" w:before="100" w:beforeAutospacing="1" w:line="240" w:lineRule="auto"/>
    </w:pPr>
    <w:rPr>
      <w:rFonts w:ascii="Times New Roman" w:cs="Times New Roman" w:eastAsia="Times New Roman" w:hAnsi="Times New Roman"/>
      <w:kern w:val="0"/>
      <w:lang w:eastAsia="fr-FR"/>
    </w:rPr>
  </w:style>
  <w:style w:type="character" w:styleId="Strong">
    <w:name w:val="Strong"/>
    <w:basedOn w:val="DefaultParagraphFont"/>
    <w:uiPriority w:val="22"/>
    <w:qFormat w:val="1"/>
    <w:rsid w:val="00D47ED8"/>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tH5BqhmWegZWM+mNSOWr3wJ+Q==">CgMxLjA4AHIhMVczdjJxQzJzYWI5X3cwUU5GSHRlZURxc0g2cWNFQzJy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2025-02-20T09:35:00Z</dcterms:created>
  <dc:creator>Zaineb Garcia</dc:creator>
</cp:coreProperties>
</file>