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Lexique &amp; Concepts Clés - Jour 2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Contrat responsable 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Contrat respectant un cahier des charges légal. Il ouvre droit à des avantages fiscaux et sociaux.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ANI 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Accord National Interprofessionnel de 2016 qui impose une complémentaire santé obligatoire en entreprise.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Réforme 100% santé 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Accès à des soins optiques, dentaires et auditifs sans reste à charge pour l’assuré, (sur une selection)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Résiliation infra-annuelle 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Droit de résilier son contrat santé à tout moment après 12 mois de souscription.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Devoir de conseil 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Obligation du conseiller d’informer clairement le client et de proposer une offre adaptée.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RGPD 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Règlement Général sur la Protection des Données (2018). Garantit la confidentialité et la sécurité des données personnelles.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