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0" w:line="240" w:lineRule="auto"/>
        <w:ind w:left="0" w:right="0" w:firstLine="0"/>
        <w:jc w:val="left"/>
        <w:rPr>
          <w:rFonts w:ascii="Calibri" w:cs="Calibri" w:eastAsia="Calibri" w:hAnsi="Calibri"/>
          <w:color w:val="17365d"/>
          <w:sz w:val="52"/>
          <w:szCs w:val="5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shd w:fill="auto" w:val="clear"/>
          <w:vertAlign w:val="baseline"/>
          <w:rtl w:val="0"/>
        </w:rPr>
        <w:t xml:space="preserve">Exercices - Jour 3</w:t>
      </w:r>
    </w:p>
    <w:p w:rsidR="00000000" w:rsidDel="00000000" w:rsidP="00000000" w:rsidRDefault="00000000" w:rsidRPr="00000000" w14:paraId="00000002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  <w:rtl w:val="0"/>
        </w:rPr>
        <w:t xml:space="preserve">Cas pratiques</w:t>
      </w:r>
    </w:p>
    <w:p w:rsidR="00000000" w:rsidDel="00000000" w:rsidP="00000000" w:rsidRDefault="00000000" w:rsidRPr="00000000" w14:paraId="00000003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Cas 1 : Un client doit subir une opération chirurgicale avec 5 jours d’hospitalisation. Analysez le remboursement avec et sans complémentaire santé.</w:t>
      </w:r>
    </w:p>
    <w:p w:rsidR="00000000" w:rsidDel="00000000" w:rsidP="00000000" w:rsidRDefault="00000000" w:rsidRPr="00000000" w14:paraId="00000004">
      <w:pPr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shd w:fill="auto" w:val="clear"/>
          <w:vertAlign w:val="baseline"/>
          <w:rtl w:val="0"/>
        </w:rPr>
        <w:t xml:space="preserve">Cas 2 : Une famille souhaite équiper deux enfants en lunettes. Comparez les garanties 100% santé et les offres avec reste à charge.</w:t>
      </w:r>
    </w:p>
    <w:p w:rsidR="00000000" w:rsidDel="00000000" w:rsidP="00000000" w:rsidRDefault="00000000" w:rsidRPr="00000000" w14:paraId="00000005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1eSjYpJwQJRjji29KoyD1TVgjA==">CgMxLjA4AHIhMXYyMXRjdzBWNzE2MEVZaVdLN3VTa2xYMTJ5WExqVTBa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