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300" w:line="240"/>
        <w:ind w:right="0" w:left="0" w:firstLine="0"/>
        <w:jc w:val="left"/>
        <w:rPr>
          <w:rFonts w:ascii="Calibri" w:hAnsi="Calibri" w:cs="Calibri" w:eastAsia="Calibri"/>
          <w:color w:val="17365D"/>
          <w:spacing w:val="5"/>
          <w:position w:val="0"/>
          <w:sz w:val="52"/>
          <w:shd w:fill="auto" w:val="clear"/>
        </w:rPr>
      </w:pPr>
      <w:r>
        <w:rPr>
          <w:rFonts w:ascii="Calibri" w:hAnsi="Calibri" w:cs="Calibri" w:eastAsia="Calibri"/>
          <w:color w:val="17365D"/>
          <w:spacing w:val="5"/>
          <w:position w:val="0"/>
          <w:sz w:val="52"/>
          <w:shd w:fill="auto" w:val="clear"/>
        </w:rPr>
        <w:t xml:space="preserve">Grille d'Évaluation - Journée de Formation Vente Assurance Santé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Cette grille d’évaluation permet de mesurer la performance des collaborateurs lors des simulations de vente (cas pratiques, traitement des objections, posture commerciale).</w:t>
      </w:r>
    </w:p>
    <w:tbl>
      <w:tblPr/>
      <w:tblGrid>
        <w:gridCol w:w="2880"/>
        <w:gridCol w:w="2880"/>
        <w:gridCol w:w="2880"/>
      </w:tblGrid>
      <w:tr>
        <w:trPr>
          <w:trHeight w:val="465" w:hRule="auto"/>
          <w:jc w:val="left"/>
        </w:trPr>
        <w:tc>
          <w:tcPr>
            <w:tcW w:w="2880" w:type="dxa"/>
            <w:tcBorders>
              <w:top w:val="single" w:color="c0504d" w:sz="8"/>
              <w:left w:val="single" w:color="c0504d" w:sz="8"/>
              <w:bottom w:val="single" w:color="c0504d" w:sz="8"/>
              <w:right w:val="single" w:color="c0504d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Critère</w:t>
            </w:r>
          </w:p>
        </w:tc>
        <w:tc>
          <w:tcPr>
            <w:tcW w:w="2880" w:type="dxa"/>
            <w:tcBorders>
              <w:top w:val="single" w:color="c0504d" w:sz="8"/>
              <w:left w:val="single" w:color="c0504d" w:sz="8"/>
              <w:bottom w:val="single" w:color="c0504d" w:sz="8"/>
              <w:right w:val="single" w:color="c0504d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Observation / Commentaires</w:t>
            </w:r>
          </w:p>
        </w:tc>
        <w:tc>
          <w:tcPr>
            <w:tcW w:w="2880" w:type="dxa"/>
            <w:tcBorders>
              <w:top w:val="single" w:color="c0504d" w:sz="8"/>
              <w:left w:val="single" w:color="c0504d" w:sz="8"/>
              <w:bottom w:val="single" w:color="c0504d" w:sz="8"/>
              <w:right w:val="single" w:color="c0504d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Note (1 à 5)</w:t>
            </w:r>
          </w:p>
        </w:tc>
      </w:tr>
      <w:tr>
        <w:trPr>
          <w:trHeight w:val="1" w:hRule="atLeast"/>
          <w:jc w:val="left"/>
        </w:trPr>
        <w:tc>
          <w:tcPr>
            <w:tcW w:w="2880" w:type="dxa"/>
            <w:tcBorders>
              <w:top w:val="single" w:color="c0504d" w:sz="8"/>
              <w:left w:val="single" w:color="c0504d" w:sz="8"/>
              <w:bottom w:val="single" w:color="c0504d" w:sz="8"/>
              <w:right w:val="single" w:color="c0504d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Respect de la trame (écoute, besoin, proposition, objection, conclusion)</w:t>
            </w:r>
          </w:p>
        </w:tc>
        <w:tc>
          <w:tcPr>
            <w:tcW w:w="2880" w:type="dxa"/>
            <w:tcBorders>
              <w:top w:val="single" w:color="c0504d" w:sz="8"/>
              <w:left w:val="single" w:color="c0504d" w:sz="8"/>
              <w:bottom w:val="single" w:color="c0504d" w:sz="8"/>
              <w:right w:val="single" w:color="c0504d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880" w:type="dxa"/>
            <w:tcBorders>
              <w:top w:val="single" w:color="c0504d" w:sz="8"/>
              <w:left w:val="single" w:color="c0504d" w:sz="8"/>
              <w:bottom w:val="single" w:color="c0504d" w:sz="8"/>
              <w:right w:val="single" w:color="c0504d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2880" w:type="dxa"/>
            <w:tcBorders>
              <w:top w:val="single" w:color="c0504d" w:sz="8"/>
              <w:left w:val="single" w:color="c0504d" w:sz="8"/>
              <w:bottom w:val="single" w:color="c0504d" w:sz="8"/>
              <w:right w:val="single" w:color="c0504d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Pertinence des réponses aux objections</w:t>
            </w:r>
          </w:p>
        </w:tc>
        <w:tc>
          <w:tcPr>
            <w:tcW w:w="2880" w:type="dxa"/>
            <w:tcBorders>
              <w:top w:val="single" w:color="c0504d" w:sz="8"/>
              <w:left w:val="single" w:color="c0504d" w:sz="8"/>
              <w:bottom w:val="single" w:color="c0504d" w:sz="8"/>
              <w:right w:val="single" w:color="c0504d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880" w:type="dxa"/>
            <w:tcBorders>
              <w:top w:val="single" w:color="c0504d" w:sz="8"/>
              <w:left w:val="single" w:color="c0504d" w:sz="8"/>
              <w:bottom w:val="single" w:color="c0504d" w:sz="8"/>
              <w:right w:val="single" w:color="c0504d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2880" w:type="dxa"/>
            <w:tcBorders>
              <w:top w:val="single" w:color="c0504d" w:sz="8"/>
              <w:left w:val="single" w:color="c0504d" w:sz="8"/>
              <w:bottom w:val="single" w:color="c0504d" w:sz="8"/>
              <w:right w:val="single" w:color="c0504d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Adaptation au profil client</w:t>
            </w:r>
          </w:p>
        </w:tc>
        <w:tc>
          <w:tcPr>
            <w:tcW w:w="2880" w:type="dxa"/>
            <w:tcBorders>
              <w:top w:val="single" w:color="c0504d" w:sz="8"/>
              <w:left w:val="single" w:color="c0504d" w:sz="8"/>
              <w:bottom w:val="single" w:color="c0504d" w:sz="8"/>
              <w:right w:val="single" w:color="c0504d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880" w:type="dxa"/>
            <w:tcBorders>
              <w:top w:val="single" w:color="c0504d" w:sz="8"/>
              <w:left w:val="single" w:color="c0504d" w:sz="8"/>
              <w:bottom w:val="single" w:color="c0504d" w:sz="8"/>
              <w:right w:val="single" w:color="c0504d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750" w:hRule="auto"/>
          <w:jc w:val="left"/>
        </w:trPr>
        <w:tc>
          <w:tcPr>
            <w:tcW w:w="2880" w:type="dxa"/>
            <w:tcBorders>
              <w:top w:val="single" w:color="c0504d" w:sz="8"/>
              <w:left w:val="single" w:color="c0504d" w:sz="8"/>
              <w:bottom w:val="single" w:color="c0504d" w:sz="8"/>
              <w:right w:val="single" w:color="c0504d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Posture commerciale (confiance, clarté, engagement, conformité)</w:t>
            </w:r>
          </w:p>
        </w:tc>
        <w:tc>
          <w:tcPr>
            <w:tcW w:w="2880" w:type="dxa"/>
            <w:tcBorders>
              <w:top w:val="single" w:color="c0504d" w:sz="8"/>
              <w:left w:val="single" w:color="c0504d" w:sz="8"/>
              <w:bottom w:val="single" w:color="c0504d" w:sz="8"/>
              <w:right w:val="single" w:color="c0504d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880" w:type="dxa"/>
            <w:tcBorders>
              <w:top w:val="single" w:color="c0504d" w:sz="8"/>
              <w:left w:val="single" w:color="c0504d" w:sz="8"/>
              <w:bottom w:val="single" w:color="c0504d" w:sz="8"/>
              <w:right w:val="single" w:color="c0504d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</w:tbl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br/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Synthèse de l’évaluation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Note globale : ______ / 20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Points forts :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Axes d’amélioration :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