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Tableau comparatif des profils clients - Assurance Santé</w:t>
      </w:r>
    </w:p>
    <w:p>
      <w:r>
        <w:t>Ce document présente les besoins, motivations et points clés à mettre en avant pour différents profils de clients en assurance santé. Il peut servir de support lors des simulations et jeux de rôles en formation.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Profil</w:t>
            </w:r>
          </w:p>
        </w:tc>
        <w:tc>
          <w:tcPr>
            <w:tcW w:type="dxa" w:w="2160"/>
          </w:tcPr>
          <w:p>
            <w:r>
              <w:t>Besoins principaux</w:t>
            </w:r>
          </w:p>
        </w:tc>
        <w:tc>
          <w:tcPr>
            <w:tcW w:type="dxa" w:w="2160"/>
          </w:tcPr>
          <w:p>
            <w:r>
              <w:t>Motivations</w:t>
            </w:r>
          </w:p>
        </w:tc>
        <w:tc>
          <w:tcPr>
            <w:tcW w:type="dxa" w:w="2160"/>
          </w:tcPr>
          <w:p>
            <w:r>
              <w:t>Points clés à mettre en avant</w:t>
            </w:r>
          </w:p>
        </w:tc>
      </w:tr>
      <w:tr>
        <w:tc>
          <w:tcPr>
            <w:tcW w:type="dxa" w:w="2160"/>
          </w:tcPr>
          <w:p>
            <w:r>
              <w:t>👴 Senior</w:t>
            </w:r>
          </w:p>
        </w:tc>
        <w:tc>
          <w:tcPr>
            <w:tcW w:type="dxa" w:w="2160"/>
          </w:tcPr>
          <w:p>
            <w:r>
              <w:t>- Hospitalisation renforcée</w:t>
              <w:br/>
              <w:t>- Soins spécialistes</w:t>
              <w:br/>
              <w:t>- Optique &amp; dentaire</w:t>
              <w:br/>
              <w:t>- Dépassements d’honoraires</w:t>
              <w:br/>
              <w:t>- Services d’assistance</w:t>
            </w:r>
          </w:p>
        </w:tc>
        <w:tc>
          <w:tcPr>
            <w:tcW w:type="dxa" w:w="2160"/>
          </w:tcPr>
          <w:p>
            <w:r>
              <w:t>Sécurité, tranquillité, maintien du niveau de vie</w:t>
            </w:r>
          </w:p>
        </w:tc>
        <w:tc>
          <w:tcPr>
            <w:tcW w:type="dxa" w:w="2160"/>
          </w:tcPr>
          <w:p>
            <w:r>
              <w:t>Remboursements solides, confort (chambre particulière), téléassistance</w:t>
            </w:r>
          </w:p>
        </w:tc>
      </w:tr>
      <w:tr>
        <w:tc>
          <w:tcPr>
            <w:tcW w:type="dxa" w:w="2160"/>
          </w:tcPr>
          <w:p>
            <w:r>
              <w:t>👨‍💼 TNS</w:t>
            </w:r>
          </w:p>
        </w:tc>
        <w:tc>
          <w:tcPr>
            <w:tcW w:type="dxa" w:w="2160"/>
          </w:tcPr>
          <w:p>
            <w:r>
              <w:t>- Couverture hospitalisation &amp; soins courants</w:t>
              <w:br/>
              <w:t>- Arrêt de travail</w:t>
              <w:br/>
              <w:t>- Prévention santé</w:t>
              <w:br/>
              <w:t>- Fiscalité (loi Madelin)</w:t>
            </w:r>
          </w:p>
        </w:tc>
        <w:tc>
          <w:tcPr>
            <w:tcW w:type="dxa" w:w="2160"/>
          </w:tcPr>
          <w:p>
            <w:r>
              <w:t>Sécurité financière, protection familiale, avantage fiscal</w:t>
            </w:r>
          </w:p>
        </w:tc>
        <w:tc>
          <w:tcPr>
            <w:tcW w:type="dxa" w:w="2160"/>
          </w:tcPr>
          <w:p>
            <w:r>
              <w:t>Garanties solides, réduction d’impôt, sérénité pour la famille</w:t>
            </w:r>
          </w:p>
        </w:tc>
      </w:tr>
      <w:tr>
        <w:tc>
          <w:tcPr>
            <w:tcW w:type="dxa" w:w="2160"/>
          </w:tcPr>
          <w:p>
            <w:r>
              <w:t>🎓 Étudiant</w:t>
            </w:r>
          </w:p>
        </w:tc>
        <w:tc>
          <w:tcPr>
            <w:tcW w:type="dxa" w:w="2160"/>
          </w:tcPr>
          <w:p>
            <w:r>
              <w:t>- Tarifs accessibles</w:t>
              <w:br/>
              <w:t>- Soins courants</w:t>
              <w:br/>
              <w:t>- Optique/dentaire basiques</w:t>
              <w:br/>
              <w:t>- Hospitalisation minimum</w:t>
              <w:br/>
              <w:t>- Souplesse des contrats</w:t>
            </w:r>
          </w:p>
        </w:tc>
        <w:tc>
          <w:tcPr>
            <w:tcW w:type="dxa" w:w="2160"/>
          </w:tcPr>
          <w:p>
            <w:r>
              <w:t>Prix, praticité, protection minimum</w:t>
            </w:r>
          </w:p>
        </w:tc>
        <w:tc>
          <w:tcPr>
            <w:tcW w:type="dxa" w:w="2160"/>
          </w:tcPr>
          <w:p>
            <w:r>
              <w:t>Formules économiques, garanties simples, liberté sans engagement</w:t>
            </w:r>
          </w:p>
        </w:tc>
      </w:tr>
      <w:tr>
        <w:tc>
          <w:tcPr>
            <w:tcW w:type="dxa" w:w="2160"/>
          </w:tcPr>
          <w:p>
            <w:r>
              <w:t>🏥 ALD</w:t>
            </w:r>
          </w:p>
        </w:tc>
        <w:tc>
          <w:tcPr>
            <w:tcW w:type="dxa" w:w="2160"/>
          </w:tcPr>
          <w:p>
            <w:r>
              <w:t>- Soins spécialisés</w:t>
              <w:br/>
              <w:t>- Hospitalisation fréquente</w:t>
              <w:br/>
              <w:t>- Paramédical (kiné, infirmiers)</w:t>
              <w:br/>
              <w:t>- Dépassements d’honoraires</w:t>
            </w:r>
          </w:p>
        </w:tc>
        <w:tc>
          <w:tcPr>
            <w:tcW w:type="dxa" w:w="2160"/>
          </w:tcPr>
          <w:p>
            <w:r>
              <w:t>Sécurité médicale, minimiser le reste à charge</w:t>
            </w:r>
          </w:p>
        </w:tc>
        <w:tc>
          <w:tcPr>
            <w:tcW w:type="dxa" w:w="2160"/>
          </w:tcPr>
          <w:p>
            <w:r>
              <w:t>Couverture renforcée, suivi long terme, pas de plafond limité</w:t>
            </w:r>
          </w:p>
        </w:tc>
      </w:tr>
      <w:tr>
        <w:tc>
          <w:tcPr>
            <w:tcW w:type="dxa" w:w="2160"/>
          </w:tcPr>
          <w:p>
            <w:r>
              <w:t>👥 CSS</w:t>
            </w:r>
          </w:p>
        </w:tc>
        <w:tc>
          <w:tcPr>
            <w:tcW w:type="dxa" w:w="2160"/>
          </w:tcPr>
          <w:p>
            <w:r>
              <w:t>- Couverture complète à faible coût</w:t>
              <w:br/>
              <w:t>- Tiers payant généralisé</w:t>
              <w:br/>
              <w:t>- Hospitalisation + soins courants</w:t>
              <w:br/>
              <w:t>- Optique/dentaire essentiels</w:t>
            </w:r>
          </w:p>
        </w:tc>
        <w:tc>
          <w:tcPr>
            <w:tcW w:type="dxa" w:w="2160"/>
          </w:tcPr>
          <w:p>
            <w:r>
              <w:t>Accès aux soins, zéro avance d’argent, protection du budget</w:t>
            </w:r>
          </w:p>
        </w:tc>
        <w:tc>
          <w:tcPr>
            <w:tcW w:type="dxa" w:w="2160"/>
          </w:tcPr>
          <w:p>
            <w:r>
              <w:t>Gratuité/abordabilité, simplicité administrative, sécurité financière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