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  <w:t xml:space="preserve">Grille d</w:t>
      </w:r>
      <w:r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  <w:t xml:space="preserve">’</w:t>
      </w:r>
      <w:r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  <w:t xml:space="preserve">évaluation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tbl>
      <w:tblPr/>
      <w:tblGrid>
        <w:gridCol w:w="2160"/>
        <w:gridCol w:w="2160"/>
        <w:gridCol w:w="2160"/>
        <w:gridCol w:w="2160"/>
      </w:tblGrid>
      <w:tr>
        <w:trPr>
          <w:trHeight w:val="525" w:hRule="auto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Critère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Note (1-5)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Commentaires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Conformité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Respect du processus, obligations légales et contractuelles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Fluidité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Aisance et clarté dans l’enchaînement des étapes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Argumentation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Pertinence et force des arguments commerciaux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Traitement des objections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Capacité à répondre efficacement aux objections courantes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