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E"/>
  <w:body>
    <w:p>
      <w:pPr>
        <w:spacing w:after="140" w:before="1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30"/>
        <w:jc w:val="center"/>
      </w:pPr>
      <w:r>
        <w:rPr>
          <w:rFonts w:ascii="Calibri" w:cs="Calibri" w:eastAsia="Calibri" w:hAnsi="Calibri"/>
          <w:color w:val="6E6459"/>
          <w:sz w:val="18"/>
          <w:szCs w:val="18"/>
        </w:rPr>
        <w:t xml:space="preserve">NIVEL 5 · APLICACIÓN (documento nuevo)</w:t>
      </w:r>
    </w:p>
    <w:p>
      <w:pPr>
        <w:spacing w:after="160"/>
        <w:jc w:val="center"/>
      </w:pPr>
      <w:r>
        <w:rPr>
          <w:rFonts w:ascii="Georgia" w:cs="Georgia" w:eastAsia="Georgia" w:hAnsi="Georgia"/>
          <w:b/>
          <w:bCs/>
          <w:color w:val="3C3430"/>
          <w:sz w:val="42"/>
          <w:szCs w:val="42"/>
        </w:rPr>
        <w:t xml:space="preserve">Ficha de Apoyo al Participante</w:t>
      </w:r>
    </w:p>
    <w:p>
      <w:pPr>
        <w:spacing w:after="260"/>
        <w:jc w:val="center"/>
      </w:pPr>
      <w:r>
        <w:rPr>
          <w:rFonts w:ascii="Calibri" w:cs="Calibri" w:eastAsia="Calibri" w:hAnsi="Calibri"/>
          <w:i/>
          <w:iCs/>
          <w:color w:val="6E6459"/>
          <w:sz w:val="21"/>
          <w:szCs w:val="21"/>
        </w:rPr>
        <w:t xml:space="preserve">Material de apoyo entregado en la Fase VII (Cierre) de una experiencia. Su contenido debe ser correcto y seguro; su forma visual se define libremente para cada público, canal y contexto.</w:t>
      </w:r>
    </w:p>
    <w:p>
      <w:pPr>
        <w:pStyle w:val="Heading2"/>
      </w:pPr>
      <w:r>
        <w:t xml:space="preserve">Control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Código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SER-FAP-01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Versión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2.0</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Estado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 Vigente</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Fecha de publicación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16 de julio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Propietario</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Redactor Institucional (contenido); Fundadora del Método (aprobación final cuando corresponda)</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Documentos relacionados</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SER-MM-01 (Cap. 3, Fase VII), SER-BIB-V01, SER-GF-01, SER-MAPA-01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Próxima revisión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Una versión por cada Protocolo de Experiencia</w:t>
            </w:r>
          </w:p>
        </w:tc>
      </w:tr>
    </w:tbl>
    <w:p>
      <w:pPr>
        <w:spacing w:after="260"/>
      </w:pPr>
    </w:p>
    <w:p>
      <w:pPr>
        <w:spacing w:after="160" w:line="320"/>
      </w:pPr>
      <w:r>
        <w:rPr>
          <w:rFonts w:ascii="Calibri" w:cs="Calibri" w:eastAsia="Calibri" w:hAnsi="Calibri"/>
          <w:b w:val="false"/>
          <w:bCs w:val="false"/>
          <w:i w:val="false"/>
          <w:iCs w:val="false"/>
          <w:color w:val="3C3430"/>
          <w:sz w:val="21"/>
          <w:szCs w:val="21"/>
        </w:rPr>
        <w:t xml:space="preserve">Este es el contenido de referencia de la ficha entregada al finalizar la Experiencia “Respirar para Avanzar”. No constituye una plantilla estética. Su forma visual puede rediseñarse libremente según el objetivo, público, canal y contexto, respetando veracidad, seguridad, legalidad, derechos de uso, privacidad y accesibilidad.</w:t>
      </w:r>
    </w:p>
    <w:p>
      <w:pPr>
        <w:pStyle w:val="Heading2"/>
      </w:pPr>
      <w:r>
        <w:t xml:space="preserve">Portada</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Respirar para Avanzar — Una pausa para comprender tu estrés y recuperar calma.</w:t>
      </w:r>
    </w:p>
    <w:p>
      <w:pPr>
        <w:pStyle w:val="Heading2"/>
      </w:pPr>
      <w:r>
        <w:t xml:space="preserve">Lo que aprendiste hoy</w:t>
      </w:r>
    </w:p>
    <w:p>
      <w:pPr>
        <w:spacing w:after="160" w:line="320"/>
      </w:pPr>
      <w:r>
        <w:rPr>
          <w:rFonts w:ascii="Calibri" w:cs="Calibri" w:eastAsia="Calibri" w:hAnsi="Calibri"/>
          <w:b w:val="false"/>
          <w:bCs w:val="false"/>
          <w:i w:val="false"/>
          <w:iCs w:val="false"/>
          <w:color w:val="3C3430"/>
          <w:sz w:val="21"/>
          <w:szCs w:val="21"/>
        </w:rPr>
        <w:t xml:space="preserve">Tu cuerpo reacciona ante el estrés como si hubiera una amenaza, incluso cuando no la hay: eso no es una falla, es un sistema de protección antiguo. Hoy le diste a ese sistema una señal clara de seguridad, a través de la respiración, la atención y la pausa.</w:t>
      </w:r>
    </w:p>
    <w:p>
      <w:pPr>
        <w:pStyle w:val="Heading2"/>
      </w:pPr>
      <w:r>
        <w:t xml:space="preserve">Herramientas prácticas</w:t>
      </w:r>
    </w:p>
    <w:p>
      <w:pPr>
        <w:pStyle w:val="Heading3"/>
      </w:pPr>
      <w:r>
        <w:t xml:space="preserve">Respiración con exhalación prolongada</w:t>
      </w:r>
    </w:p>
    <w:p>
      <w:pPr>
        <w:pStyle w:val="ListParagraph"/>
        <w:numPr>
          <w:ilvl w:val="0"/>
          <w:numId w:val="2"/>
        </w:numPr>
        <w:spacing w:after="70" w:line="300"/>
      </w:pPr>
      <w:r>
        <w:rPr>
          <w:rFonts w:ascii="Calibri" w:cs="Calibri" w:eastAsia="Calibri" w:hAnsi="Calibri"/>
          <w:color w:val="3C3430"/>
          <w:sz w:val="21"/>
          <w:szCs w:val="21"/>
        </w:rPr>
        <w:t xml:space="preserve">Cuándo: cuando notes tensión o aceleración.</w:t>
      </w:r>
    </w:p>
    <w:p>
      <w:pPr>
        <w:pStyle w:val="ListParagraph"/>
        <w:numPr>
          <w:ilvl w:val="0"/>
          <w:numId w:val="2"/>
        </w:numPr>
        <w:spacing w:after="70" w:line="300"/>
      </w:pPr>
      <w:r>
        <w:rPr>
          <w:rFonts w:ascii="Calibri" w:cs="Calibri" w:eastAsia="Calibri" w:hAnsi="Calibri"/>
          <w:color w:val="3C3430"/>
          <w:sz w:val="21"/>
          <w:szCs w:val="21"/>
        </w:rPr>
        <w:t xml:space="preserve">Cómo: inhala cuatro segundos y exhala entre seis y ocho.</w:t>
      </w:r>
    </w:p>
    <w:p>
      <w:pPr>
        <w:pStyle w:val="ListParagraph"/>
        <w:numPr>
          <w:ilvl w:val="0"/>
          <w:numId w:val="2"/>
        </w:numPr>
        <w:spacing w:after="70" w:line="300"/>
      </w:pPr>
      <w:r>
        <w:rPr>
          <w:rFonts w:ascii="Calibri" w:cs="Calibri" w:eastAsia="Calibri" w:hAnsi="Calibri"/>
          <w:color w:val="3C3430"/>
          <w:sz w:val="21"/>
          <w:szCs w:val="21"/>
        </w:rPr>
        <w:t xml:space="preserve">Qué esperar: tu sistema nervioso recibirá una señal de mayor seguridad.</w:t>
      </w:r>
    </w:p>
    <w:p>
      <w:pPr>
        <w:pStyle w:val="Heading3"/>
      </w:pPr>
      <w:r>
        <w:t xml:space="preserve">Micro-pausa de atención plena</w:t>
      </w:r>
    </w:p>
    <w:p>
      <w:pPr>
        <w:pStyle w:val="ListParagraph"/>
        <w:numPr>
          <w:ilvl w:val="0"/>
          <w:numId w:val="2"/>
        </w:numPr>
        <w:spacing w:after="70" w:line="300"/>
      </w:pPr>
      <w:r>
        <w:rPr>
          <w:rFonts w:ascii="Calibri" w:cs="Calibri" w:eastAsia="Calibri" w:hAnsi="Calibri"/>
          <w:color w:val="3C3430"/>
          <w:sz w:val="21"/>
          <w:szCs w:val="21"/>
        </w:rPr>
        <w:t xml:space="preserve">Cuándo: cuando tu mente se sienta dispersa o acelerada.</w:t>
      </w:r>
    </w:p>
    <w:p>
      <w:pPr>
        <w:pStyle w:val="ListParagraph"/>
        <w:numPr>
          <w:ilvl w:val="0"/>
          <w:numId w:val="2"/>
        </w:numPr>
        <w:spacing w:after="70" w:line="300"/>
      </w:pPr>
      <w:r>
        <w:rPr>
          <w:rFonts w:ascii="Calibri" w:cs="Calibri" w:eastAsia="Calibri" w:hAnsi="Calibri"/>
          <w:color w:val="3C3430"/>
          <w:sz w:val="21"/>
          <w:szCs w:val="21"/>
        </w:rPr>
        <w:t xml:space="preserve">Cómo: nota tres sonidos a tu alrededor y el punto donde tu cuerpo hace contacto con la silla.</w:t>
      </w:r>
    </w:p>
    <w:p>
      <w:pPr>
        <w:pStyle w:val="ListParagraph"/>
        <w:numPr>
          <w:ilvl w:val="0"/>
          <w:numId w:val="2"/>
        </w:numPr>
        <w:spacing w:after="70" w:line="300"/>
      </w:pPr>
      <w:r>
        <w:rPr>
          <w:rFonts w:ascii="Calibri" w:cs="Calibri" w:eastAsia="Calibri" w:hAnsi="Calibri"/>
          <w:color w:val="3C3430"/>
          <w:sz w:val="21"/>
          <w:szCs w:val="21"/>
        </w:rPr>
        <w:t xml:space="preserve">Qué esperar: unos segundos de claridad, sin necesidad de cerrar los ojos.</w:t>
      </w:r>
    </w:p>
    <w:p>
      <w:pPr>
        <w:pStyle w:val="Heading2"/>
      </w:pPr>
      <w:r>
        <w:t xml:space="preserve">Lo importante que quiero que recuerdes</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Tu cuerpo intenta protegerte, incluso cuando se equivoca.</w:t>
      </w:r>
    </w:p>
    <w:p>
      <w:pPr>
        <w:pStyle w:val="Heading2"/>
      </w:pPr>
      <w:r>
        <w:t xml:space="preserve">Qué hacer si vuelve el malestar</w:t>
      </w:r>
    </w:p>
    <w:p>
      <w:pPr>
        <w:spacing w:after="160" w:line="320"/>
      </w:pPr>
      <w:r>
        <w:rPr>
          <w:rFonts w:ascii="Calibri" w:cs="Calibri" w:eastAsia="Calibri" w:hAnsi="Calibri"/>
          <w:b w:val="false"/>
          <w:bCs w:val="false"/>
          <w:i w:val="false"/>
          <w:iCs w:val="false"/>
          <w:color w:val="3C3430"/>
          <w:sz w:val="21"/>
          <w:szCs w:val="21"/>
        </w:rPr>
        <w:t xml:space="preserve">Vuelve a la respiración con exhalación prolongada, sin forzar nada. Si esta práctica aumenta tu malestar en vez de disminuirlo, detente y conversa con un profesional.</w:t>
      </w:r>
    </w:p>
    <w:p>
      <w:pPr>
        <w:pStyle w:val="Heading2"/>
      </w:pPr>
      <w:r>
        <w:t xml:space="preserve">Mensaje final</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Hoy elegiste regalarte una pausa. Respira. Comprende. Regula. Avanza.</w:t>
      </w:r>
    </w:p>
    <w:p>
      <w:pPr>
        <w:spacing w:after="60" w:before="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spacing w:after="260"/>
        <w:jc w:val="center"/>
      </w:pPr>
      <w:r>
        <w:rPr>
          <w:rFonts w:ascii="Calibri" w:cs="Calibri" w:eastAsia="Calibri" w:hAnsi="Calibri"/>
          <w:b/>
          <w:bCs/>
          <w:color w:val="4E6653"/>
          <w:sz w:val="19"/>
          <w:szCs w:val="19"/>
        </w:rPr>
        <w:t xml:space="preserve">Síguenos en @serenamente.helenaraya</w:t>
      </w:r>
    </w:p>
    <w:p>
      <w:pPr>
        <w:pStyle w:val="Heading2"/>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60"/>
        <w:gridCol w:w="1500"/>
      </w:tblGrid>
      <w:tr>
        <w:tc>
          <w:tcPr>
            <w:tcW w:type="dxa" w:w="16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Fecha</w:t>
            </w:r>
          </w:p>
        </w:tc>
        <w:tc>
          <w:tcPr>
            <w:tcW w:type="dxa" w:w="10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Versión</w:t>
            </w:r>
          </w:p>
        </w:tc>
        <w:tc>
          <w:tcPr>
            <w:tcW w:type="dxa" w:w="52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Cambio</w:t>
            </w:r>
          </w:p>
        </w:tc>
        <w:tc>
          <w:tcPr>
            <w:tcW w:type="dxa" w:w="15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Resolución asociada</w:t>
            </w:r>
          </w:p>
        </w:tc>
      </w:tr>
      <w:t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3C3430"/>
                <w:sz w:val="20"/>
                <w:szCs w:val="20"/>
              </w:rPr>
              <w:t xml:space="preserve">1.0</w:t>
            </w:r>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Creación del documento por excepción explícita autorizada, instanciando la estructura de fichas del participante con el contenido de “Respirar para Avanzar”.</w:t>
            </w:r>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R9-anexo</w:t>
            </w:r>
          </w:p>
        </w:tc>
      </w:tr>
      <w:tr>
        <w:tc>
          <w:p>
            <w:r>
              <w:t xml:space="preserve">16 de julio de 2026</w:t>
            </w:r>
          </w:p>
        </w:tc>
        <w:tc>
          <w:p>
            <w:r>
              <w:t xml:space="preserve">2.0</w:t>
            </w:r>
          </w:p>
        </w:tc>
        <w:tc>
          <w:p>
            <w:r>
              <w:t xml:space="preserve">Se elimina la obligatoriedad de usar SER-BCS-01 o cualquier plantilla estética. El documento conserva el contenido de apoyo y habilita libertad creativa con controles de veracidad, seguridad, legalidad, derechos de uso, privacidad y accesibilidad.</w:t>
            </w:r>
          </w:p>
        </w:tc>
        <w:tc>
          <w:p>
            <w:r>
              <w:t xml:space="preserve">Autorización explícita de Helen Araya, Fundadora del Método, 16-07-2026</w:t>
            </w:r>
          </w:p>
        </w:tc>
      </w:tr>
    </w:tbl>
    <w:p>
      <w:pPr>
        <w:spacing w:after="200"/>
      </w:pP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459"/>
        <w:sz w:val="16"/>
        <w:szCs w:val="16"/>
      </w:rPr>
      <w:t xml:space="preserve">Ecosistema Serenamente — congelado bajo SER-REF-01   ·   Página </w:t>
    </w:r>
    <w:r>
      <w:rPr>
        <w:rFonts w:ascii="Calibri" w:cs="Calibri" w:eastAsia="Calibri" w:hAnsi="Calibri"/>
        <w:color w:val="6E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9C9" w:sz="4" w:space="4"/>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E6459"/>
        <w:sz w:val="16"/>
        <w:szCs w:val="16"/>
      </w:rPr>
      <w:t xml:space="preserve">	SER-FAP-01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E2775E"/>
      </w:rPr>
    </w:lvl>
  </w:abstractNum>
  <w:abstractNum w:abstractNumId="3" w15:restartNumberingAfterBreak="0">
    <w:multiLevelType w:val="hybridMultilevel"/>
    <w:lvl w:ilvl="0" w15:tentative="1">
      <w:start w:val="1"/>
      <w:numFmt w:val="bullet"/>
      <w:lvlText w:val="–"/>
      <w:lvlJc w:val="left"/>
      <w:pPr>
        <w:ind w:left="560" w:hanging="300"/>
      </w:pPr>
      <w:rPr>
        <w:color w:val="4E6653"/>
      </w:rPr>
    </w:lvl>
  </w:abstractNum>
  <w:abstractNum w:abstractNumId="4" w15:restartNumberingAfterBreak="0">
    <w:multiLevelType w:val="hybridMultilevel"/>
    <w:lvl w:ilvl="0" w15:tentative="1">
      <w:start w:val="1"/>
      <w:numFmt w:val="decimal"/>
      <w:lvlText w:val="%1."/>
      <w:lvlJc w:val="left"/>
      <w:pPr>
        <w:ind w:left="560" w:hanging="300"/>
      </w:pPr>
      <w:rPr>
        <w:b/>
        <w:bCs/>
        <w:color w:val="C85F49"/>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A290" w:sz="6" w:space="6"/>
      </w:pBdr>
      <w:spacing w:after="200" w:before="320"/>
      <w:outlineLvl w:val="0"/>
    </w:pPr>
    <w:rPr>
      <w:rFonts w:ascii="Georgia" w:cs="Georgia" w:eastAsia="Georgia" w:hAnsi="Georgia"/>
      <w:b/>
      <w:bCs/>
      <w:color w:val="C85F4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4E6653"/>
      <w:sz w:val="25"/>
      <w:szCs w:val="25"/>
    </w:rPr>
  </w:style>
  <w:style w:type="paragraph" w:styleId="Heading3">
    <w:name w:val="Heading 3"/>
    <w:basedOn w:val="Normal"/>
    <w:next w:val="Normal"/>
    <w:qFormat/>
    <w:pPr>
      <w:spacing w:after="90" w:before="200"/>
      <w:outlineLvl w:val="2"/>
    </w:pPr>
    <w:rPr>
      <w:rFonts w:ascii="Georgia" w:cs="Georgia" w:eastAsia="Georgia" w:hAnsi="Georgia"/>
      <w:b/>
      <w:bCs/>
      <w:color w:val="3C3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4b7c3afe9ac0d42447139e877a66f6aecf146.png"/><Relationship Id="rId10" Type="http://schemas.openxmlformats.org/officeDocument/2006/relationships/image" Target="media/e1541eb5ab35dd462811ead71ee2f47121c56d1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4b7c3afe9ac0d42447139e877a66f6aecf1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2026-07-02T03:12:13.461Z</dcterms:created>
  <dcterms:modified xsi:type="dcterms:W3CDTF">2026-07-02T03:12:13.461Z</dcterms:modified>
</cp:coreProperties>
</file>

<file path=docProps/custom.xml><?xml version="1.0" encoding="utf-8"?>
<Properties xmlns="http://schemas.openxmlformats.org/officeDocument/2006/custom-properties" xmlns:vt="http://schemas.openxmlformats.org/officeDocument/2006/docPropsVTypes"/>
</file>