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6EE"/>
  <w:body>
    <w:p>
      <w:pPr>
        <w:spacing w:after="140" w:before="10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after="30"/>
        <w:jc w:val="center"/>
      </w:pPr>
      <w:r>
        <w:rPr>
          <w:rFonts w:ascii="Calibri" w:cs="Calibri" w:eastAsia="Calibri" w:hAnsi="Calibri"/>
          <w:color w:val="6E6459"/>
          <w:sz w:val="18"/>
          <w:szCs w:val="18"/>
        </w:rPr>
        <w:t xml:space="preserve">NIVEL 2 · MÉTODO — ¿Cómo funciona Serenamente?</w:t>
      </w:r>
    </w:p>
    <w:p>
      <w:pPr>
        <w:spacing w:after="160"/>
        <w:jc w:val="center"/>
      </w:pPr>
      <w:r>
        <w:rPr>
          <w:rFonts w:ascii="Georgia" w:cs="Georgia" w:eastAsia="Georgia" w:hAnsi="Georgia"/>
          <w:b/>
          <w:bCs/>
          <w:color w:val="3C3430"/>
          <w:sz w:val="42"/>
          <w:szCs w:val="42"/>
        </w:rPr>
        <w:t xml:space="preserve">Manual del Método Serenamente</w:t>
      </w:r>
    </w:p>
    <w:p>
      <w:pPr>
        <w:spacing w:after="260"/>
        <w:jc w:val="center"/>
      </w:pPr>
      <w:r>
        <w:rPr>
          <w:rFonts w:ascii="Calibri" w:cs="Calibri" w:eastAsia="Calibri" w:hAnsi="Calibri"/>
          <w:i/>
          <w:iCs/>
          <w:color w:val="6E6459"/>
          <w:sz w:val="21"/>
          <w:szCs w:val="21"/>
        </w:rPr>
        <w:t xml:space="preserve">Fundamentos, ingeniería de la regulación, arquitectura de la experiencia, el facilitador y el SMR.</w:t>
      </w:r>
    </w:p>
    <w:p>
      <w:pPr>
        <w:pStyle w:val="Heading2"/>
      </w:pPr>
      <w:r>
        <w:t xml:space="preserve">Control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Código documental</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SER-MM-01</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Versión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1.0</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Estado documental</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 Vigente</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Fecha de publicación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30 de junio de 2026</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Propietario</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Arquitecto Metodológico</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Documentos relacionados</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SER-NM-01 (superior jerárquico), SER-PIC-01, SER-BIB-V01, SER-GF-01</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Próxima revisión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Ante un cambio de arquitectura de fases o de funciones del SMR</w:t>
            </w:r>
          </w:p>
        </w:tc>
      </w:tr>
    </w:tbl>
    <w:p>
      <w:pPr>
        <w:spacing w:after="260"/>
      </w:pPr>
    </w:p>
    <w:p>
      <w:pPr>
        <w:pStyle w:val="Heading2"/>
      </w:pPr>
      <w:r>
        <w:t xml:space="preserve">Capítulo 1 — Fundamentos Metodológicos</w:t>
      </w:r>
    </w:p>
    <w:p>
      <w:pPr>
        <w:spacing w:after="160" w:line="320"/>
      </w:pPr>
      <w:r>
        <w:rPr>
          <w:rFonts w:ascii="Calibri" w:cs="Calibri" w:eastAsia="Calibri" w:hAnsi="Calibri"/>
          <w:b w:val="false"/>
          <w:bCs w:val="false"/>
          <w:i w:val="false"/>
          <w:iCs w:val="false"/>
          <w:color w:val="3C3430"/>
          <w:sz w:val="21"/>
          <w:szCs w:val="21"/>
        </w:rPr>
        <w:t xml:space="preserve">Este capítulo traduce en principios de acción los contenidos de identidad definidos en el Núcleo Maestro Serenamente (SER-NM-01). No repite esos contenidos: los aplica.</w:t>
      </w:r>
    </w:p>
    <w:p>
      <w:pPr>
        <w:pStyle w:val="Heading3"/>
      </w:pPr>
      <w:r>
        <w:t xml:space="preserve">1.1 Los cinco principios del Método Serenamente</w:t>
      </w:r>
    </w:p>
    <w:p>
      <w:pPr>
        <w:pStyle w:val="ListParagraph"/>
        <w:numPr>
          <w:ilvl w:val="0"/>
          <w:numId w:val="2"/>
        </w:numPr>
        <w:spacing w:after="80" w:line="310"/>
      </w:pPr>
      <w:r>
        <w:rPr>
          <w:rFonts w:ascii="Calibri" w:cs="Calibri" w:eastAsia="Calibri" w:hAnsi="Calibri"/>
          <w:color w:val="3C3430"/>
          <w:sz w:val="21"/>
          <w:szCs w:val="21"/>
        </w:rPr>
        <w:t xml:space="preserve">La regulación precede al cambio. Una persona necesita recuperar primero una sensación de seguridad y estabilidad antes de intentar afrontar desafíos más complejos.</w:t>
      </w:r>
    </w:p>
    <w:p>
      <w:pPr>
        <w:pStyle w:val="ListParagraph"/>
        <w:numPr>
          <w:ilvl w:val="0"/>
          <w:numId w:val="2"/>
        </w:numPr>
        <w:spacing w:after="80" w:line="310"/>
      </w:pPr>
      <w:r>
        <w:rPr>
          <w:rFonts w:ascii="Calibri" w:cs="Calibri" w:eastAsia="Calibri" w:hAnsi="Calibri"/>
          <w:color w:val="3C3430"/>
          <w:sz w:val="21"/>
          <w:szCs w:val="21"/>
        </w:rPr>
        <w:t xml:space="preserve">Comprender también es una forma de cuidado. Cuando una persona comprende que su experiencia tiene sentido, disminuye la culpa y aumenta su capacidad para sostenerse con mayor compasión.</w:t>
      </w:r>
    </w:p>
    <w:p>
      <w:pPr>
        <w:pStyle w:val="ListParagraph"/>
        <w:numPr>
          <w:ilvl w:val="0"/>
          <w:numId w:val="2"/>
        </w:numPr>
        <w:spacing w:after="80" w:line="310"/>
      </w:pPr>
      <w:r>
        <w:rPr>
          <w:rFonts w:ascii="Calibri" w:cs="Calibri" w:eastAsia="Calibri" w:hAnsi="Calibri"/>
          <w:color w:val="3C3430"/>
          <w:sz w:val="21"/>
          <w:szCs w:val="21"/>
        </w:rPr>
        <w:t xml:space="preserve">El cuerpo es la puerta de entrada. La regulación comienza mediante experiencias corporales y sensoriales como la respiración, la postura, el sonido, el ambiente y la atención consciente.</w:t>
      </w:r>
    </w:p>
    <w:p>
      <w:pPr>
        <w:pStyle w:val="ListParagraph"/>
        <w:numPr>
          <w:ilvl w:val="0"/>
          <w:numId w:val="2"/>
        </w:numPr>
        <w:spacing w:after="80" w:line="310"/>
      </w:pPr>
      <w:r>
        <w:rPr>
          <w:rFonts w:ascii="Calibri" w:cs="Calibri" w:eastAsia="Calibri" w:hAnsi="Calibri"/>
          <w:color w:val="3C3430"/>
          <w:sz w:val="21"/>
          <w:szCs w:val="21"/>
        </w:rPr>
        <w:t xml:space="preserve">El silencio también acompaña. Los participantes nunca están obligados a compartir experiencias personales para beneficiarse del método. La presencia también es una forma de participación.</w:t>
      </w:r>
    </w:p>
    <w:p>
      <w:pPr>
        <w:pStyle w:val="ListParagraph"/>
        <w:numPr>
          <w:ilvl w:val="0"/>
          <w:numId w:val="2"/>
        </w:numPr>
        <w:spacing w:after="80" w:line="310"/>
      </w:pPr>
      <w:r>
        <w:rPr>
          <w:rFonts w:ascii="Calibri" w:cs="Calibri" w:eastAsia="Calibri" w:hAnsi="Calibri"/>
          <w:color w:val="3C3430"/>
          <w:sz w:val="21"/>
          <w:szCs w:val="21"/>
        </w:rPr>
        <w:t xml:space="preserve">Toda experiencia debe sentirse segura. Ninguna persona debería sentirse juzgada, avergonzada, presionada, expuesta, aburrida o apurada durante una Experiencia Serenamente.</w:t>
      </w:r>
    </w:p>
    <w:p>
      <w:pPr>
        <w:spacing w:after="260"/>
      </w:pPr>
    </w:p>
    <w:p>
      <w:pPr>
        <w:pStyle w:val="Heading2"/>
      </w:pPr>
      <w:r>
        <w:t xml:space="preserve">Capítulo 2 — Ingeniería de la Regulación</w:t>
      </w:r>
    </w:p>
    <w:p>
      <w:pPr>
        <w:pStyle w:val="Heading3"/>
      </w:pPr>
      <w:r>
        <w:t xml:space="preserve">2.1 La hipótesis central</w:t>
      </w:r>
    </w:p>
    <w:p>
      <w:pPr>
        <w:spacing w:after="160" w:line="320"/>
      </w:pPr>
      <w:r>
        <w:rPr>
          <w:rFonts w:ascii="Calibri" w:cs="Calibri" w:eastAsia="Calibri" w:hAnsi="Calibri"/>
          <w:b w:val="false"/>
          <w:bCs w:val="false"/>
          <w:i w:val="false"/>
          <w:iCs w:val="false"/>
          <w:color w:val="3C3430"/>
          <w:sz w:val="21"/>
          <w:szCs w:val="21"/>
        </w:rPr>
        <w:t xml:space="preserve">Una persona no puede aprovechar plenamente nuevas herramientas de bienestar cuando su organismo permanece en un estado persistente de alerta. Por ello, antes de enseñar, explicar o invitar a la reflexión, la metodología busca crear las condiciones fisiológicas y psicológicas necesarias para que la persona experimente seguridad, calma y presencia (ver Núcleo Maestro, SER-NM-01, §2).</w:t>
      </w:r>
    </w:p>
    <w:p>
      <w:pPr>
        <w:pStyle w:val="Heading3"/>
      </w:pPr>
      <w:r>
        <w:t xml:space="preserve">2.2 El recorrido de una Experiencia Serenamente</w:t>
      </w:r>
    </w:p>
    <w:p>
      <w:pPr>
        <w:shd w:fill="F6DED3" w:val="clear"/>
        <w:spacing w:after="60" w:before="100"/>
      </w:pPr>
      <w:r>
        <w:rPr>
          <w:rFonts w:ascii="Calibri" w:cs="Calibri" w:eastAsia="Calibri" w:hAnsi="Calibri"/>
          <w:b/>
          <w:bCs/>
          <w:color w:val="C85F49"/>
          <w:sz w:val="19"/>
          <w:szCs w:val="19"/>
        </w:rPr>
        <w:t xml:space="preserve">Estado de llegada</w:t>
      </w:r>
    </w:p>
    <w:p>
      <w:pPr>
        <w:spacing w:after="160" w:line="320"/>
      </w:pPr>
      <w:r>
        <w:rPr>
          <w:rFonts w:ascii="Calibri" w:cs="Calibri" w:eastAsia="Calibri" w:hAnsi="Calibri"/>
          <w:b w:val="false"/>
          <w:bCs w:val="false"/>
          <w:i w:val="false"/>
          <w:iCs w:val="false"/>
          <w:color w:val="3C3430"/>
          <w:sz w:val="21"/>
          <w:szCs w:val="21"/>
        </w:rPr>
        <w:t xml:space="preserve">El participante puede llegar con una combinación de: estrés acumulado, sobrecarga emocional, fatiga física, atención fragmentada, hipervigilancia, tensión muscular, respiración superficial y sensación de no tener tiempo para sí mismo. Serenamente no asume que todos los participantes llegan igual, pero sí reconoce que muchos comparten un sistema nervioso exigido por las demandas cotidianas.</w:t>
      </w:r>
    </w:p>
    <w:p>
      <w:pPr>
        <w:shd w:fill="F6DED3" w:val="clear"/>
        <w:spacing w:after="60" w:before="100"/>
      </w:pPr>
      <w:r>
        <w:rPr>
          <w:rFonts w:ascii="Calibri" w:cs="Calibri" w:eastAsia="Calibri" w:hAnsi="Calibri"/>
          <w:b/>
          <w:bCs/>
          <w:color w:val="C85F49"/>
          <w:sz w:val="19"/>
          <w:szCs w:val="19"/>
        </w:rPr>
        <w:t xml:space="preserve">Estado de salida</w:t>
      </w:r>
    </w:p>
    <w:p>
      <w:pPr>
        <w:spacing w:after="160" w:line="320"/>
      </w:pPr>
      <w:r>
        <w:rPr>
          <w:rFonts w:ascii="Calibri" w:cs="Calibri" w:eastAsia="Calibri" w:hAnsi="Calibri"/>
          <w:b w:val="false"/>
          <w:bCs w:val="false"/>
          <w:i w:val="false"/>
          <w:iCs w:val="false"/>
          <w:color w:val="3C3430"/>
          <w:sz w:val="21"/>
          <w:szCs w:val="21"/>
        </w:rPr>
        <w:t xml:space="preserve">Al finalizar la experiencia, el objetivo es que el participante presente, en la medida de lo posible: respiración más lenta y cómoda, menor tensión corporal, sensación subjetiva de calma, mayor sensación de seguridad, atención más estable, bienestar físico y psicológico, y aprendizaje práctico de herramientas que pueda aplicar posteriormente. No se busca inducir somnolencia ni desconexión, sino una calma consciente.</w:t>
      </w:r>
    </w:p>
    <w:p>
      <w:pPr>
        <w:pStyle w:val="Heading3"/>
      </w:pPr>
      <w:r>
        <w:t xml:space="preserve">2.3 Correspondencia entre el recorrido conceptual y la arquitectura operativa</w:t>
      </w:r>
    </w:p>
    <w:p>
      <w:pPr>
        <w:shd w:fill="E6EDE3" w:val="clear"/>
        <w:spacing w:after="60" w:before="100"/>
      </w:pPr>
      <w:r>
        <w:rPr>
          <w:rFonts w:ascii="Calibri" w:cs="Calibri" w:eastAsia="Calibri" w:hAnsi="Calibri"/>
          <w:b/>
          <w:bCs/>
          <w:color w:val="4E6653"/>
          <w:sz w:val="19"/>
          <w:szCs w:val="19"/>
        </w:rPr>
        <w:t xml:space="preserve">NOTA DE GOBERNANZA (SER-REF-01, R1)</w:t>
      </w:r>
    </w:p>
    <w:p>
      <w:pPr>
        <w:spacing w:after="160" w:line="320"/>
      </w:pPr>
      <w:r>
        <w:rPr>
          <w:rFonts w:ascii="Calibri" w:cs="Calibri" w:eastAsia="Calibri" w:hAnsi="Calibri"/>
          <w:b w:val="false"/>
          <w:bCs w:val="false"/>
          <w:i w:val="false"/>
          <w:iCs w:val="false"/>
          <w:color w:val="3C3430"/>
          <w:sz w:val="21"/>
          <w:szCs w:val="21"/>
        </w:rPr>
        <w:t xml:space="preserve">Serenamente opera con una única arquitectura de fases: las 7 fases descritas en el Capítulo 3 de este Manual. El recorrido de 5 etapas descrito originalmente en este capítulo se conserva únicamente como marco conceptual de regulación y se expresa siempre mapeado sobre las 7 fases operativas, nunca como una numeración alternativa:</w:t>
      </w:r>
    </w:p>
    <w:p>
      <w:pPr>
        <w:pStyle w:val="ListParagraph"/>
        <w:numPr>
          <w:ilvl w:val="0"/>
          <w:numId w:val="3"/>
        </w:numPr>
        <w:spacing w:after="80" w:line="310"/>
      </w:pPr>
      <w:r>
        <w:rPr>
          <w:rFonts w:ascii="Calibri" w:cs="Calibri" w:eastAsia="Calibri" w:hAnsi="Calibri"/>
          <w:color w:val="3C3430"/>
          <w:sz w:val="21"/>
          <w:szCs w:val="21"/>
        </w:rPr>
        <w:t xml:space="preserve">Transición conceptual → Fases I a III (Preparación del entorno, Recepción, Transición).</w:t>
      </w:r>
    </w:p>
    <w:p>
      <w:pPr>
        <w:pStyle w:val="ListParagraph"/>
        <w:numPr>
          <w:ilvl w:val="0"/>
          <w:numId w:val="3"/>
        </w:numPr>
        <w:spacing w:after="80" w:line="310"/>
      </w:pPr>
      <w:r>
        <w:rPr>
          <w:rFonts w:ascii="Calibri" w:cs="Calibri" w:eastAsia="Calibri" w:hAnsi="Calibri"/>
          <w:color w:val="3C3430"/>
          <w:sz w:val="21"/>
          <w:szCs w:val="21"/>
        </w:rPr>
        <w:t xml:space="preserve">Regulación inicial → Fase IV (Regulación).</w:t>
      </w:r>
    </w:p>
    <w:p>
      <w:pPr>
        <w:pStyle w:val="ListParagraph"/>
        <w:numPr>
          <w:ilvl w:val="0"/>
          <w:numId w:val="3"/>
        </w:numPr>
        <w:spacing w:after="80" w:line="310"/>
      </w:pPr>
      <w:r>
        <w:rPr>
          <w:rFonts w:ascii="Calibri" w:cs="Calibri" w:eastAsia="Calibri" w:hAnsi="Calibri"/>
          <w:color w:val="3C3430"/>
          <w:sz w:val="21"/>
          <w:szCs w:val="21"/>
        </w:rPr>
        <w:t xml:space="preserve">Profundización → Fase V (Profundización).</w:t>
      </w:r>
    </w:p>
    <w:p>
      <w:pPr>
        <w:pStyle w:val="ListParagraph"/>
        <w:numPr>
          <w:ilvl w:val="0"/>
          <w:numId w:val="3"/>
        </w:numPr>
        <w:spacing w:after="80" w:line="310"/>
      </w:pPr>
      <w:r>
        <w:rPr>
          <w:rFonts w:ascii="Calibri" w:cs="Calibri" w:eastAsia="Calibri" w:hAnsi="Calibri"/>
          <w:color w:val="3C3430"/>
          <w:sz w:val="21"/>
          <w:szCs w:val="21"/>
        </w:rPr>
        <w:t xml:space="preserve">Integración → Fase VI (Integración).</w:t>
      </w:r>
    </w:p>
    <w:p>
      <w:pPr>
        <w:pStyle w:val="ListParagraph"/>
        <w:numPr>
          <w:ilvl w:val="0"/>
          <w:numId w:val="3"/>
        </w:numPr>
        <w:spacing w:after="80" w:line="310"/>
      </w:pPr>
      <w:r>
        <w:rPr>
          <w:rFonts w:ascii="Calibri" w:cs="Calibri" w:eastAsia="Calibri" w:hAnsi="Calibri"/>
          <w:color w:val="3C3430"/>
          <w:sz w:val="21"/>
          <w:szCs w:val="21"/>
        </w:rPr>
        <w:t xml:space="preserve">Cierre → Fase VII (Cierre).</w:t>
      </w:r>
    </w:p>
    <w:p>
      <w:pPr>
        <w:spacing w:after="260" w:line="320"/>
      </w:pPr>
      <w:r>
        <w:rPr>
          <w:rFonts w:ascii="Calibri" w:cs="Calibri" w:eastAsia="Calibri" w:hAnsi="Calibri"/>
          <w:b w:val="false"/>
          <w:bCs w:val="false"/>
          <w:i w:val="false"/>
          <w:iCs w:val="false"/>
          <w:color w:val="3C3430"/>
          <w:sz w:val="21"/>
          <w:szCs w:val="21"/>
        </w:rPr>
        <w:t xml:space="preserve">Cada herramienta utilizada en una experiencia debe contribuir claramente a una de las 7 fases del Capítulo 3.</w:t>
      </w:r>
    </w:p>
    <w:p>
      <w:pPr>
        <w:pStyle w:val="Heading3"/>
      </w:pPr>
      <w:r>
        <w:t xml:space="preserve">2.4 Las dos familias de herramientas Serenamente</w:t>
      </w:r>
    </w:p>
    <w:p>
      <w:pPr>
        <w:shd w:fill="F6DED3" w:val="clear"/>
        <w:spacing w:after="60" w:before="100"/>
      </w:pPr>
      <w:r>
        <w:rPr>
          <w:rFonts w:ascii="Calibri" w:cs="Calibri" w:eastAsia="Calibri" w:hAnsi="Calibri"/>
          <w:b/>
          <w:bCs/>
          <w:color w:val="C85F49"/>
          <w:sz w:val="19"/>
          <w:szCs w:val="19"/>
        </w:rPr>
        <w:t xml:space="preserve">Herramientas ambientales</w:t>
      </w:r>
    </w:p>
    <w:p>
      <w:pPr>
        <w:spacing w:after="160" w:line="320"/>
      </w:pPr>
      <w:r>
        <w:rPr>
          <w:rFonts w:ascii="Calibri" w:cs="Calibri" w:eastAsia="Calibri" w:hAnsi="Calibri"/>
          <w:b w:val="false"/>
          <w:bCs w:val="false"/>
          <w:i w:val="false"/>
          <w:iCs w:val="false"/>
          <w:color w:val="3C3430"/>
          <w:sz w:val="21"/>
          <w:szCs w:val="21"/>
        </w:rPr>
        <w:t xml:space="preserve">Modifican el contexto donde ocurre la experiencia. Su función es favorecer una sensación progresiva de seguridad antes incluso de que el facilitador comience a hablar. Ejemplos: iluminación, música, aromas, temperatura, distribución del espacio, infusión de bienvenida.</w:t>
      </w:r>
    </w:p>
    <w:p>
      <w:pPr>
        <w:shd w:fill="F6DED3" w:val="clear"/>
        <w:spacing w:after="60" w:before="100"/>
      </w:pPr>
      <w:r>
        <w:rPr>
          <w:rFonts w:ascii="Calibri" w:cs="Calibri" w:eastAsia="Calibri" w:hAnsi="Calibri"/>
          <w:b/>
          <w:bCs/>
          <w:color w:val="C85F49"/>
          <w:sz w:val="19"/>
          <w:szCs w:val="19"/>
        </w:rPr>
        <w:t xml:space="preserve">Herramientas activas</w:t>
      </w:r>
    </w:p>
    <w:p>
      <w:pPr>
        <w:spacing w:after="160" w:line="320"/>
      </w:pPr>
      <w:r>
        <w:rPr>
          <w:rFonts w:ascii="Calibri" w:cs="Calibri" w:eastAsia="Calibri" w:hAnsi="Calibri"/>
          <w:b w:val="false"/>
          <w:bCs w:val="false"/>
          <w:i w:val="false"/>
          <w:iCs w:val="false"/>
          <w:color w:val="3C3430"/>
          <w:sz w:val="21"/>
          <w:szCs w:val="21"/>
        </w:rPr>
        <w:t xml:space="preserve">Requieren una participación consciente del facilitador y de los participantes. Ejemplos: respiración consciente, relajación corporal, meditación guiada, uso del cuenco, ejercicios de atención plena. Ambos tipos de herramientas trabajan conjuntamente y nunca compiten entre sí.</w:t>
      </w:r>
    </w:p>
    <w:p>
      <w:pPr>
        <w:pStyle w:val="Heading3"/>
      </w:pPr>
      <w:r>
        <w:t xml:space="preserve">2.5 Un principio metodológico fundamental</w:t>
      </w:r>
    </w:p>
    <w:p>
      <w:pPr>
        <w:spacing w:after="260" w:line="320"/>
      </w:pPr>
      <w:r>
        <w:rPr>
          <w:rFonts w:ascii="Calibri" w:cs="Calibri" w:eastAsia="Calibri" w:hAnsi="Calibri"/>
          <w:b w:val="false"/>
          <w:bCs w:val="false"/>
          <w:i w:val="false"/>
          <w:iCs w:val="false"/>
          <w:color w:val="3C3430"/>
          <w:sz w:val="21"/>
          <w:szCs w:val="21"/>
        </w:rPr>
        <w:t xml:space="preserve">Ninguna herramienta constituye el método por sí sola. La respiración no es el Método Serenamente. El cuenco no es el Método Serenamente. La meditación no es el Método Serenamente. El método emerge de la combinación intencional, ordenada y coherente de todas ellas. Las herramientas pueden evolucionar con el tiempo conforme avance la evidencia científica (ver SER-PIC-01). Lo que permanece constante es la arquitectura metodológica que organiza la experiencia.</w:t>
      </w:r>
    </w:p>
    <w:p>
      <w:pPr>
        <w:pStyle w:val="Heading2"/>
      </w:pPr>
      <w:r>
        <w:t xml:space="preserve">Capítulo 3 — Arquitectura de una Experiencia Serenamente</w:t>
      </w:r>
    </w:p>
    <w:p>
      <w:pPr>
        <w:spacing w:after="160" w:line="320"/>
      </w:pPr>
      <w:r>
        <w:rPr>
          <w:rFonts w:ascii="Calibri" w:cs="Calibri" w:eastAsia="Calibri" w:hAnsi="Calibri"/>
          <w:b w:val="false"/>
          <w:bCs w:val="false"/>
          <w:i w:val="false"/>
          <w:iCs w:val="false"/>
          <w:color w:val="3C3430"/>
          <w:sz w:val="21"/>
          <w:szCs w:val="21"/>
        </w:rPr>
        <w:t xml:space="preserve">Toda Experiencia Serenamente constituye un recorrido diseñado para acompañar al participante desde el momento en que cruza el umbral del espacio hasta que regresa a su vida cotidiana. Ningún elemento se incorpora por azar: todo responde al cambio de estado que se desea facilitar (ver Capítulo 2, §2.2).</w:t>
      </w:r>
    </w:p>
    <w:p>
      <w:pPr>
        <w:pStyle w:val="Heading3"/>
      </w:pPr>
      <w:r>
        <w:t xml:space="preserve">Fase I. Preparación del entorno</w:t>
      </w:r>
    </w:p>
    <w:p>
      <w:pPr>
        <w:spacing w:after="160" w:line="320"/>
      </w:pPr>
      <w:r>
        <w:rPr>
          <w:rFonts w:ascii="Calibri" w:cs="Calibri" w:eastAsia="Calibri" w:hAnsi="Calibri"/>
          <w:b w:val="false"/>
          <w:bCs w:val="false"/>
          <w:i w:val="false"/>
          <w:iCs w:val="false"/>
          <w:color w:val="3C3430"/>
          <w:sz w:val="21"/>
          <w:szCs w:val="21"/>
        </w:rPr>
        <w:t xml:space="preserve">La experiencia comienza antes de la llegada de los participantes. El facilitador prepara un entorno que transmita seguridad, calma y acogida (iluminación, ambiente sonoro, aroma, temperatura, disposición del espacio, materiales). Objetivo: crear un contexto que favorezca la transición desde el ritmo cotidiano hacia un espacio de cuidado.</w:t>
      </w:r>
    </w:p>
    <w:p>
      <w:pPr>
        <w:pStyle w:val="Heading3"/>
      </w:pPr>
      <w:r>
        <w:t xml:space="preserve">Fase II. Recepción</w:t>
      </w:r>
    </w:p>
    <w:p>
      <w:pPr>
        <w:spacing w:after="160" w:line="320"/>
      </w:pPr>
      <w:r>
        <w:rPr>
          <w:rFonts w:ascii="Calibri" w:cs="Calibri" w:eastAsia="Calibri" w:hAnsi="Calibri"/>
          <w:b w:val="false"/>
          <w:bCs w:val="false"/>
          <w:i w:val="false"/>
          <w:iCs w:val="false"/>
          <w:color w:val="3C3430"/>
          <w:sz w:val="21"/>
          <w:szCs w:val="21"/>
        </w:rPr>
        <w:t xml:space="preserve">Desde que el participante cruza la puerta, comienza la experiencia. La bienvenida busca transmitir tranquilidad y permitir que cada persona se acomode a su propio ritmo, favoreciendo respeto, privacidad y ausencia de exigencias. Objetivo: que el participante sienta que ha llegado a un lugar seguro.</w:t>
      </w:r>
    </w:p>
    <w:p>
      <w:pPr>
        <w:pStyle w:val="Heading3"/>
      </w:pPr>
      <w:r>
        <w:t xml:space="preserve">Fase III. Transición</w:t>
      </w:r>
    </w:p>
    <w:p>
      <w:pPr>
        <w:spacing w:after="160" w:line="320"/>
      </w:pPr>
      <w:r>
        <w:rPr>
          <w:rFonts w:ascii="Calibri" w:cs="Calibri" w:eastAsia="Calibri" w:hAnsi="Calibri"/>
          <w:b w:val="false"/>
          <w:bCs w:val="false"/>
          <w:i w:val="false"/>
          <w:iCs w:val="false"/>
          <w:color w:val="3C3430"/>
          <w:sz w:val="21"/>
          <w:szCs w:val="21"/>
        </w:rPr>
        <w:t xml:space="preserve">Marca el paso entre el mundo exterior y la experiencia Serenamente, ayudando a dejar atrás las demandas del día sin generar presión ni desconexión. Objetivo: disminuir progresivamente la activación inicial.</w:t>
      </w:r>
    </w:p>
    <w:p>
      <w:pPr>
        <w:pStyle w:val="Heading3"/>
      </w:pPr>
      <w:r>
        <w:t xml:space="preserve">Fase IV. Regulación</w:t>
      </w:r>
    </w:p>
    <w:p>
      <w:pPr>
        <w:spacing w:after="160" w:line="320"/>
      </w:pPr>
      <w:r>
        <w:rPr>
          <w:rFonts w:ascii="Calibri" w:cs="Calibri" w:eastAsia="Calibri" w:hAnsi="Calibri"/>
          <w:b w:val="false"/>
          <w:bCs w:val="false"/>
          <w:i w:val="false"/>
          <w:iCs w:val="false"/>
          <w:color w:val="3C3430"/>
          <w:sz w:val="21"/>
          <w:szCs w:val="21"/>
        </w:rPr>
        <w:t xml:space="preserve">Corresponde al núcleo de la experiencia: se aplican de forma secuencial los recursos metodológicos seleccionados para favorecer la regulación fisiológica y emocional. No existe un conjunto fijo de recursos obligatorios; la elección depende del diseño de la experiencia y del grupo, respetando siempre los principios del Núcleo Maestro. Objetivo: facilitar una disminución progresiva de la activación y una mayor sensación de seguridad.</w:t>
      </w:r>
    </w:p>
    <w:p>
      <w:pPr>
        <w:pStyle w:val="Heading3"/>
      </w:pPr>
      <w:r>
        <w:t xml:space="preserve">Fase V. Profundización</w:t>
      </w:r>
    </w:p>
    <w:p>
      <w:pPr>
        <w:spacing w:after="160" w:line="320"/>
      </w:pPr>
      <w:r>
        <w:rPr>
          <w:rFonts w:ascii="Calibri" w:cs="Calibri" w:eastAsia="Calibri" w:hAnsi="Calibri"/>
          <w:b w:val="false"/>
          <w:bCs w:val="false"/>
          <w:i w:val="false"/>
          <w:iCs w:val="false"/>
          <w:color w:val="3C3430"/>
          <w:sz w:val="21"/>
          <w:szCs w:val="21"/>
        </w:rPr>
        <w:t xml:space="preserve">Una vez alcanzado un nivel adecuado de regulación, se sostiene ese estado sin inducir sueño ni desconexión. Objetivo: mantener el bienestar alcanzado favoreciendo la presencia y la estabilidad, una calma consciente.</w:t>
      </w:r>
    </w:p>
    <w:p>
      <w:pPr>
        <w:pStyle w:val="Heading3"/>
      </w:pPr>
      <w:r>
        <w:t xml:space="preserve">Fase VI. Integración</w:t>
      </w:r>
    </w:p>
    <w:p>
      <w:pPr>
        <w:spacing w:after="160" w:line="320"/>
      </w:pPr>
      <w:r>
        <w:rPr>
          <w:rFonts w:ascii="Calibri" w:cs="Calibri" w:eastAsia="Calibri" w:hAnsi="Calibri"/>
          <w:b w:val="false"/>
          <w:bCs w:val="false"/>
          <w:i w:val="false"/>
          <w:iCs w:val="false"/>
          <w:color w:val="3C3430"/>
          <w:sz w:val="21"/>
          <w:szCs w:val="21"/>
        </w:rPr>
        <w:t xml:space="preserve">No se busca análisis profundo ni exposición personal. El participante dispone de un espacio para reconocer cómo se siente; la participación verbal siempre es voluntaria. Objetivo: favorecer que la experiencia sea reconocida e integrada de manera natural.</w:t>
      </w:r>
    </w:p>
    <w:p>
      <w:pPr>
        <w:pStyle w:val="Heading3"/>
      </w:pPr>
      <w:r>
        <w:t xml:space="preserve">Fase VII. Cierre</w:t>
      </w:r>
    </w:p>
    <w:p>
      <w:pPr>
        <w:spacing w:after="260" w:line="320"/>
      </w:pPr>
      <w:r>
        <w:rPr>
          <w:rFonts w:ascii="Calibri" w:cs="Calibri" w:eastAsia="Calibri" w:hAnsi="Calibri"/>
          <w:b w:val="false"/>
          <w:bCs w:val="false"/>
          <w:i w:val="false"/>
          <w:iCs w:val="false"/>
          <w:color w:val="3C3430"/>
          <w:sz w:val="21"/>
          <w:szCs w:val="21"/>
        </w:rPr>
        <w:t xml:space="preserve">La experiencia finaliza mediante un regreso gradual al entorno cotidiano. El facilitador agradece la participación, ofrece orientaciones breves para continuar practicando y entrega los recursos complementarios correspondientes (ver Ficha de Apoyo al Participante, SER-FAP-01). Objetivo: facilitar una transición respetuosa desde el espacio Serenamente hacia la vida cotidiana.</w:t>
      </w:r>
    </w:p>
    <w:p>
      <w:pPr>
        <w:pStyle w:val="Heading2"/>
      </w:pPr>
      <w:r>
        <w:t xml:space="preserve">Capítulo 4 — El Facilitador Serenamente</w:t>
      </w:r>
    </w:p>
    <w:p>
      <w:pPr>
        <w:pStyle w:val="Heading3"/>
      </w:pPr>
      <w:r>
        <w:t xml:space="preserve">4.1 La esencia del facilitador</w:t>
      </w:r>
    </w:p>
    <w:p>
      <w:pPr>
        <w:spacing w:after="160" w:line="320"/>
      </w:pPr>
      <w:r>
        <w:rPr>
          <w:rFonts w:ascii="Calibri" w:cs="Calibri" w:eastAsia="Calibri" w:hAnsi="Calibri"/>
          <w:b w:val="false"/>
          <w:bCs w:val="false"/>
          <w:i w:val="false"/>
          <w:iCs w:val="false"/>
          <w:color w:val="3C3430"/>
          <w:sz w:val="21"/>
          <w:szCs w:val="21"/>
        </w:rPr>
        <w:t xml:space="preserve">El Facilitador Serenamente es la presencia humana que sostiene la experiencia. Su función no consiste en dirigir la vida de los participantes, interpretar sus historias personales ni ofrecer respuestas a sus problemas; su responsabilidad principal es crear y proteger las condiciones necesarias para que cada persona pueda vivir una experiencia segura de regulación, bienestar y aprendizaje. El facilitador acompaña sin invadir, guía sin imponer y enseña sin protagonismo.</w:t>
      </w:r>
    </w:p>
    <w:p>
      <w:pPr>
        <w:pStyle w:val="Heading3"/>
      </w:pPr>
      <w:r>
        <w:t xml:space="preserve">4.2 El rol del facilitador</w:t>
      </w:r>
    </w:p>
    <w:p>
      <w:pPr>
        <w:pStyle w:val="ListParagraph"/>
        <w:numPr>
          <w:ilvl w:val="0"/>
          <w:numId w:val="3"/>
        </w:numPr>
        <w:spacing w:after="80" w:line="310"/>
      </w:pPr>
      <w:r>
        <w:rPr>
          <w:rFonts w:ascii="Calibri" w:cs="Calibri" w:eastAsia="Calibri" w:hAnsi="Calibri"/>
          <w:color w:val="3C3430"/>
          <w:sz w:val="21"/>
          <w:szCs w:val="21"/>
        </w:rPr>
        <w:t xml:space="preserve">Guía — conduce la experiencia con claridad, serenidad y respeto, marcando el ritmo sin apresurar los procesos individuales.</w:t>
      </w:r>
    </w:p>
    <w:p>
      <w:pPr>
        <w:pStyle w:val="ListParagraph"/>
        <w:numPr>
          <w:ilvl w:val="0"/>
          <w:numId w:val="3"/>
        </w:numPr>
        <w:spacing w:after="80" w:line="310"/>
      </w:pPr>
      <w:r>
        <w:rPr>
          <w:rFonts w:ascii="Calibri" w:cs="Calibri" w:eastAsia="Calibri" w:hAnsi="Calibri"/>
          <w:color w:val="3C3430"/>
          <w:sz w:val="21"/>
          <w:szCs w:val="21"/>
        </w:rPr>
        <w:t xml:space="preserve">Anfitrión — cuida el ambiente antes, durante y después de la experiencia; la regulación comienza desde el momento en que alguien cruza la puerta.</w:t>
      </w:r>
    </w:p>
    <w:p>
      <w:pPr>
        <w:pStyle w:val="ListParagraph"/>
        <w:numPr>
          <w:ilvl w:val="0"/>
          <w:numId w:val="3"/>
        </w:numPr>
        <w:spacing w:after="80" w:line="310"/>
      </w:pPr>
      <w:r>
        <w:rPr>
          <w:rFonts w:ascii="Calibri" w:cs="Calibri" w:eastAsia="Calibri" w:hAnsi="Calibri"/>
          <w:color w:val="3C3430"/>
          <w:sz w:val="21"/>
          <w:szCs w:val="21"/>
        </w:rPr>
        <w:t xml:space="preserve">Educador — cada recurso utilizado constituye una oportunidad de enseñar habilidades para la vida cotidiana, con explicaciones simples y sin tecnicismos innecesarios.</w:t>
      </w:r>
    </w:p>
    <w:p>
      <w:pPr>
        <w:pStyle w:val="ListParagraph"/>
        <w:numPr>
          <w:ilvl w:val="0"/>
          <w:numId w:val="3"/>
        </w:numPr>
        <w:spacing w:after="80" w:line="310"/>
      </w:pPr>
      <w:r>
        <w:rPr>
          <w:rFonts w:ascii="Calibri" w:cs="Calibri" w:eastAsia="Calibri" w:hAnsi="Calibri"/>
          <w:color w:val="3C3430"/>
          <w:sz w:val="21"/>
          <w:szCs w:val="21"/>
        </w:rPr>
        <w:t xml:space="preserve">Guardián del método — respeta los principios del Núcleo Maestro y del presente Manual; el valor del método no depende del estilo personal, sino de la coherencia con la arquitectura diseñada.</w:t>
      </w:r>
    </w:p>
    <w:p>
      <w:pPr>
        <w:pStyle w:val="Heading3"/>
      </w:pPr>
      <w:r>
        <w:t xml:space="preserve">4.3 La presencia del facilitador</w:t>
      </w:r>
    </w:p>
    <w:p>
      <w:pPr>
        <w:spacing w:after="160" w:line="320"/>
      </w:pPr>
      <w:r>
        <w:rPr>
          <w:rFonts w:ascii="Calibri" w:cs="Calibri" w:eastAsia="Calibri" w:hAnsi="Calibri"/>
          <w:b w:val="false"/>
          <w:bCs w:val="false"/>
          <w:i w:val="false"/>
          <w:iCs w:val="false"/>
          <w:color w:val="3C3430"/>
          <w:sz w:val="21"/>
          <w:szCs w:val="21"/>
        </w:rPr>
        <w:t xml:space="preserve">La principal herramienta del facilitador no es su voz: es su presencia. Antes de comenzar, procura encontrarse en un estado de calma, atención y estabilidad. No se espera perfección; se espera coherencia.</w:t>
      </w:r>
    </w:p>
    <w:p>
      <w:pPr>
        <w:pStyle w:val="Heading3"/>
      </w:pPr>
      <w:r>
        <w:t xml:space="preserve">4.4 El lenguaje Serenamente</w:t>
      </w:r>
    </w:p>
    <w:p>
      <w:pPr>
        <w:spacing w:after="160" w:line="320"/>
      </w:pPr>
      <w:r>
        <w:rPr>
          <w:rFonts w:ascii="Calibri" w:cs="Calibri" w:eastAsia="Calibri" w:hAnsi="Calibri"/>
          <w:b w:val="false"/>
          <w:bCs w:val="false"/>
          <w:i w:val="false"/>
          <w:iCs w:val="false"/>
          <w:color w:val="3C3430"/>
          <w:sz w:val="21"/>
          <w:szCs w:val="21"/>
        </w:rPr>
        <w:t xml:space="preserve">El lenguaje del facilitador debe ser claro, sencillo, cálido, respetuoso, libre de juicios, inclusivo y comprensible. No busca impresionar mediante conceptos técnicos; busca que cualquier persona pueda comprender y utilizar lo aprendido.</w:t>
      </w:r>
    </w:p>
    <w:p>
      <w:pPr>
        <w:pStyle w:val="Heading3"/>
      </w:pPr>
      <w:r>
        <w:t xml:space="preserve">4.5 El silencio</w:t>
      </w:r>
    </w:p>
    <w:p>
      <w:pPr>
        <w:spacing w:after="160" w:line="320"/>
      </w:pPr>
      <w:r>
        <w:rPr>
          <w:rFonts w:ascii="Calibri" w:cs="Calibri" w:eastAsia="Calibri" w:hAnsi="Calibri"/>
          <w:b w:val="false"/>
          <w:bCs w:val="false"/>
          <w:i w:val="false"/>
          <w:iCs w:val="false"/>
          <w:color w:val="3C3430"/>
          <w:sz w:val="21"/>
          <w:szCs w:val="21"/>
        </w:rPr>
        <w:t xml:space="preserve">El silencio constituye un recurso metodológico, no una ausencia de trabajo: representa un espacio donde la persona puede experimentar la regulación sin sentirse constantemente estimulada.</w:t>
      </w:r>
    </w:p>
    <w:p>
      <w:pPr>
        <w:pStyle w:val="Heading3"/>
      </w:pPr>
      <w:r>
        <w:t xml:space="preserve">4.6 Lo que el facilitador evita</w:t>
      </w:r>
    </w:p>
    <w:p>
      <w:pPr>
        <w:pStyle w:val="ListParagraph"/>
        <w:numPr>
          <w:ilvl w:val="0"/>
          <w:numId w:val="4"/>
        </w:numPr>
        <w:spacing w:after="70" w:line="300"/>
      </w:pPr>
      <w:r>
        <w:rPr>
          <w:rFonts w:ascii="Calibri" w:cs="Calibri" w:eastAsia="Calibri" w:hAnsi="Calibri"/>
          <w:color w:val="3C3430"/>
          <w:sz w:val="21"/>
          <w:szCs w:val="21"/>
        </w:rPr>
        <w:t xml:space="preserve">Interpretar psicológicamente a los participantes.</w:t>
      </w:r>
    </w:p>
    <w:p>
      <w:pPr>
        <w:pStyle w:val="ListParagraph"/>
        <w:numPr>
          <w:ilvl w:val="0"/>
          <w:numId w:val="4"/>
        </w:numPr>
        <w:spacing w:after="70" w:line="300"/>
      </w:pPr>
      <w:r>
        <w:rPr>
          <w:rFonts w:ascii="Calibri" w:cs="Calibri" w:eastAsia="Calibri" w:hAnsi="Calibri"/>
          <w:color w:val="3C3430"/>
          <w:sz w:val="21"/>
          <w:szCs w:val="21"/>
        </w:rPr>
        <w:t xml:space="preserve">Presionar para que alguien comparta experiencias personales.</w:t>
      </w:r>
    </w:p>
    <w:p>
      <w:pPr>
        <w:pStyle w:val="ListParagraph"/>
        <w:numPr>
          <w:ilvl w:val="0"/>
          <w:numId w:val="4"/>
        </w:numPr>
        <w:spacing w:after="70" w:line="300"/>
      </w:pPr>
      <w:r>
        <w:rPr>
          <w:rFonts w:ascii="Calibri" w:cs="Calibri" w:eastAsia="Calibri" w:hAnsi="Calibri"/>
          <w:color w:val="3C3430"/>
          <w:sz w:val="21"/>
          <w:szCs w:val="21"/>
        </w:rPr>
        <w:t xml:space="preserve">Emitir juicios.</w:t>
      </w:r>
    </w:p>
    <w:p>
      <w:pPr>
        <w:pStyle w:val="ListParagraph"/>
        <w:numPr>
          <w:ilvl w:val="0"/>
          <w:numId w:val="4"/>
        </w:numPr>
        <w:spacing w:after="70" w:line="300"/>
      </w:pPr>
      <w:r>
        <w:rPr>
          <w:rFonts w:ascii="Calibri" w:cs="Calibri" w:eastAsia="Calibri" w:hAnsi="Calibri"/>
          <w:color w:val="3C3430"/>
          <w:sz w:val="21"/>
          <w:szCs w:val="21"/>
        </w:rPr>
        <w:t xml:space="preserve">Prometer resultados que el método no puede garantizar.</w:t>
      </w:r>
    </w:p>
    <w:p>
      <w:pPr>
        <w:pStyle w:val="ListParagraph"/>
        <w:numPr>
          <w:ilvl w:val="0"/>
          <w:numId w:val="4"/>
        </w:numPr>
        <w:spacing w:after="70" w:line="300"/>
      </w:pPr>
      <w:r>
        <w:rPr>
          <w:rFonts w:ascii="Calibri" w:cs="Calibri" w:eastAsia="Calibri" w:hAnsi="Calibri"/>
          <w:color w:val="3C3430"/>
          <w:sz w:val="21"/>
          <w:szCs w:val="21"/>
        </w:rPr>
        <w:t xml:space="preserve">Realizar afirmaciones sin respaldo.</w:t>
      </w:r>
    </w:p>
    <w:p>
      <w:pPr>
        <w:pStyle w:val="ListParagraph"/>
        <w:numPr>
          <w:ilvl w:val="0"/>
          <w:numId w:val="4"/>
        </w:numPr>
        <w:spacing w:after="70" w:line="300"/>
      </w:pPr>
      <w:r>
        <w:rPr>
          <w:rFonts w:ascii="Calibri" w:cs="Calibri" w:eastAsia="Calibri" w:hAnsi="Calibri"/>
          <w:color w:val="3C3430"/>
          <w:sz w:val="21"/>
          <w:szCs w:val="21"/>
        </w:rPr>
        <w:t xml:space="preserve">Ocupar la experiencia para transmitir creencias personales.</w:t>
      </w:r>
    </w:p>
    <w:p>
      <w:pPr>
        <w:pStyle w:val="ListParagraph"/>
        <w:numPr>
          <w:ilvl w:val="0"/>
          <w:numId w:val="4"/>
        </w:numPr>
        <w:spacing w:after="70" w:line="300"/>
      </w:pPr>
      <w:r>
        <w:rPr>
          <w:rFonts w:ascii="Calibri" w:cs="Calibri" w:eastAsia="Calibri" w:hAnsi="Calibri"/>
          <w:color w:val="3C3430"/>
          <w:sz w:val="21"/>
          <w:szCs w:val="21"/>
        </w:rPr>
        <w:t xml:space="preserve">Convertir la sesión en una clase teórica.</w:t>
      </w:r>
    </w:p>
    <w:p>
      <w:pPr>
        <w:pStyle w:val="Heading3"/>
      </w:pPr>
      <w:r>
        <w:t xml:space="preserve">4.7 El Juramento del Facilitador Serenamente</w:t>
      </w:r>
    </w:p>
    <w:p>
      <w:pPr>
        <w:pBdr>
          <w:left w:val="single" w:color="E2775E" w:sz="16" w:space="10"/>
        </w:pBdr>
        <w:shd w:fill="F6DED3" w:val="clear"/>
        <w:spacing w:after="220" w:before="140" w:line="320"/>
        <w:ind w:left="380"/>
      </w:pPr>
      <w:r>
        <w:rPr>
          <w:rFonts w:ascii="Georgia" w:cs="Georgia" w:eastAsia="Georgia" w:hAnsi="Georgia"/>
          <w:i/>
          <w:iCs/>
          <w:color w:val="C85F49"/>
          <w:sz w:val="22"/>
          <w:szCs w:val="22"/>
        </w:rPr>
        <w:t xml:space="preserve">Me comprometo a cuidar este espacio con respeto, humildad y presencia. Recordaré que cada persona llega con una historia que no necesito conocer para tratarla con dignidad. Guiaré sin imponer, escucharé sin juzgar y enseñaré sin protagonismo. Honraré la evidencia, reconoceré los límites de mi rol y priorizaré siempre el bienestar y la seguridad de quienes participan. Entiendo que mi tarea no consiste en cambiar a las personas, sino en ofrecer un espacio donde puedan recuperar la calma, fortalecer sus propios recursos y recordar que no están solas.</w:t>
      </w:r>
    </w:p>
    <w:p>
      <w:pPr>
        <w:spacing w:after="260"/>
      </w:pPr>
    </w:p>
    <w:p>
      <w:pPr>
        <w:pStyle w:val="Heading2"/>
      </w:pPr>
      <w:r>
        <w:t xml:space="preserve">Capítulo 5 — Sistema Metodológico de Regulación (SMR)</w:t>
      </w:r>
    </w:p>
    <w:p>
      <w:pPr>
        <w:pStyle w:val="Heading3"/>
      </w:pPr>
      <w:r>
        <w:t xml:space="preserve">5.1 Nivel 1 — Necesidades de regulación</w:t>
      </w:r>
    </w:p>
    <w:p>
      <w:pPr>
        <w:spacing w:after="160" w:line="320"/>
      </w:pPr>
      <w:r>
        <w:rPr>
          <w:rFonts w:ascii="Calibri" w:cs="Calibri" w:eastAsia="Calibri" w:hAnsi="Calibri"/>
          <w:b w:val="false"/>
          <w:bCs w:val="false"/>
          <w:i w:val="false"/>
          <w:iCs w:val="false"/>
          <w:color w:val="3C3430"/>
          <w:sz w:val="21"/>
          <w:szCs w:val="21"/>
        </w:rPr>
        <w:t xml:space="preserve">Punto de partida del diseño: reducir la activación fisiológica; aumentar la sensación de seguridad; favorecer la presencia; disminuir la tensión corporal; facilitar la transición entre estados; consolidar la calma alcanzada; favorecer el aprendizaje de herramientas para la vida cotidiana.</w:t>
      </w:r>
    </w:p>
    <w:p>
      <w:pPr>
        <w:pStyle w:val="Heading3"/>
      </w:pPr>
      <w:r>
        <w:t xml:space="preserve">5.2 Nivel 2 — Funciones metodológicas</w:t>
      </w:r>
    </w:p>
    <w:p>
      <w:pPr>
        <w:spacing w:after="160" w:line="320"/>
      </w:pPr>
      <w:r>
        <w:rPr>
          <w:rFonts w:ascii="Calibri" w:cs="Calibri" w:eastAsia="Calibri" w:hAnsi="Calibri"/>
          <w:b w:val="false"/>
          <w:bCs w:val="false"/>
          <w:i w:val="false"/>
          <w:iCs w:val="false"/>
          <w:color w:val="3C3430"/>
          <w:sz w:val="21"/>
          <w:szCs w:val="21"/>
        </w:rPr>
        <w:t xml:space="preserve">Cada necesidad se traduce en una función. Funciones vigentes:</w:t>
      </w:r>
    </w:p>
    <w:p>
      <w:pPr>
        <w:pStyle w:val="ListParagraph"/>
        <w:numPr>
          <w:ilvl w:val="0"/>
          <w:numId w:val="4"/>
        </w:numPr>
        <w:spacing w:after="70" w:line="300"/>
      </w:pPr>
      <w:r>
        <w:rPr>
          <w:rFonts w:ascii="Calibri" w:cs="Calibri" w:eastAsia="Calibri" w:hAnsi="Calibri"/>
          <w:color w:val="3C3430"/>
          <w:sz w:val="21"/>
          <w:szCs w:val="21"/>
        </w:rPr>
        <w:t xml:space="preserve">Favorecer la regulación respiratoria — responde a: reducir la activación fisiológica.</w:t>
      </w:r>
    </w:p>
    <w:p>
      <w:pPr>
        <w:pStyle w:val="ListParagraph"/>
        <w:numPr>
          <w:ilvl w:val="0"/>
          <w:numId w:val="4"/>
        </w:numPr>
        <w:spacing w:after="70" w:line="300"/>
      </w:pPr>
      <w:r>
        <w:rPr>
          <w:rFonts w:ascii="Calibri" w:cs="Calibri" w:eastAsia="Calibri" w:hAnsi="Calibri"/>
          <w:color w:val="3C3430"/>
          <w:sz w:val="21"/>
          <w:szCs w:val="21"/>
        </w:rPr>
        <w:t xml:space="preserve">Crear un entorno de acogida y previsibilidad — responde a: aumentar la sensación de seguridad.</w:t>
      </w:r>
    </w:p>
    <w:p>
      <w:pPr>
        <w:pStyle w:val="ListParagraph"/>
        <w:numPr>
          <w:ilvl w:val="0"/>
          <w:numId w:val="4"/>
        </w:numPr>
        <w:spacing w:after="70" w:line="300"/>
      </w:pPr>
      <w:r>
        <w:rPr>
          <w:rFonts w:ascii="Calibri" w:cs="Calibri" w:eastAsia="Calibri" w:hAnsi="Calibri"/>
          <w:color w:val="3C3430"/>
          <w:sz w:val="21"/>
          <w:szCs w:val="21"/>
        </w:rPr>
        <w:t xml:space="preserve">Orientar la atención al momento presente — responde a: favorecer la presencia.</w:t>
      </w:r>
    </w:p>
    <w:p>
      <w:pPr>
        <w:pStyle w:val="ListParagraph"/>
        <w:numPr>
          <w:ilvl w:val="0"/>
          <w:numId w:val="4"/>
        </w:numPr>
        <w:spacing w:after="70" w:line="300"/>
      </w:pPr>
      <w:r>
        <w:rPr>
          <w:rFonts w:ascii="Calibri" w:cs="Calibri" w:eastAsia="Calibri" w:hAnsi="Calibri"/>
          <w:color w:val="3C3430"/>
          <w:sz w:val="21"/>
          <w:szCs w:val="21"/>
        </w:rPr>
        <w:t xml:space="preserve">Favorecer la comprensión no patologizante del estrés — responde a: aumentar la sensación de seguridad.</w:t>
      </w:r>
    </w:p>
    <w:p>
      <w:pPr>
        <w:pStyle w:val="ListParagraph"/>
        <w:numPr>
          <w:ilvl w:val="0"/>
          <w:numId w:val="4"/>
        </w:numPr>
        <w:spacing w:after="70" w:line="300"/>
      </w:pPr>
      <w:r>
        <w:rPr>
          <w:rFonts w:ascii="Calibri" w:cs="Calibri" w:eastAsia="Calibri" w:hAnsi="Calibri"/>
          <w:color w:val="3C3430"/>
          <w:sz w:val="21"/>
          <w:szCs w:val="21"/>
        </w:rPr>
        <w:t xml:space="preserve">Favorecer la conexión social y el ritual de bienvenida — responde a: aumentar la sensación de seguridad.</w:t>
      </w:r>
    </w:p>
    <w:p>
      <w:pPr>
        <w:shd w:fill="E6EDE3" w:val="clear"/>
        <w:spacing w:after="60" w:before="100"/>
      </w:pPr>
      <w:r>
        <w:rPr>
          <w:rFonts w:ascii="Calibri" w:cs="Calibri" w:eastAsia="Calibri" w:hAnsi="Calibri"/>
          <w:b/>
          <w:bCs/>
          <w:color w:val="4E6653"/>
          <w:sz w:val="19"/>
          <w:szCs w:val="19"/>
        </w:rPr>
        <w:t xml:space="preserve">NOTA DE GOBERNANZA (SER-REF-01, R4)</w:t>
      </w:r>
    </w:p>
    <w:p>
      <w:pPr>
        <w:spacing w:after="260" w:line="320"/>
      </w:pPr>
      <w:r>
        <w:rPr>
          <w:rFonts w:ascii="Calibri" w:cs="Calibri" w:eastAsia="Calibri" w:hAnsi="Calibri"/>
          <w:b w:val="false"/>
          <w:bCs w:val="false"/>
          <w:i w:val="false"/>
          <w:iCs w:val="false"/>
          <w:color w:val="3C3430"/>
          <w:sz w:val="21"/>
          <w:szCs w:val="21"/>
        </w:rPr>
        <w:t xml:space="preserve">Las dos últimas funciones se incorporan formalmente en esta versión: ya se aplicaban en la Biblioteca Metodológica (SER-BIB-V01, Fichas 2 y 5) como “función nueva”, pero no figuraban en el SMR. A partir de esta versión, ninguna ficha puede declarar una función como “nueva” sin que este capítulo se actualice en el mismo ciclo de publicación.</w:t>
      </w:r>
    </w:p>
    <w:p>
      <w:pPr>
        <w:pStyle w:val="Heading3"/>
      </w:pPr>
      <w:r>
        <w:t xml:space="preserve">5.3 Nivel 3 — Recursos compatibles (ejemplos por función)</w:t>
      </w:r>
    </w:p>
    <w:p>
      <w:pPr>
        <w:pStyle w:val="ListParagraph"/>
        <w:numPr>
          <w:ilvl w:val="0"/>
          <w:numId w:val="4"/>
        </w:numPr>
        <w:spacing w:after="70" w:line="300"/>
      </w:pPr>
      <w:r>
        <w:rPr>
          <w:rFonts w:ascii="Calibri" w:cs="Calibri" w:eastAsia="Calibri" w:hAnsi="Calibri"/>
          <w:color w:val="3C3430"/>
          <w:sz w:val="21"/>
          <w:szCs w:val="21"/>
        </w:rPr>
        <w:t xml:space="preserve">Regulación respiratoria: respiración diafragmática, respiración con exhalación prolongada, respiración coherente.</w:t>
      </w:r>
    </w:p>
    <w:p>
      <w:pPr>
        <w:pStyle w:val="ListParagraph"/>
        <w:numPr>
          <w:ilvl w:val="0"/>
          <w:numId w:val="4"/>
        </w:numPr>
        <w:spacing w:after="70" w:line="300"/>
      </w:pPr>
      <w:r>
        <w:rPr>
          <w:rFonts w:ascii="Calibri" w:cs="Calibri" w:eastAsia="Calibri" w:hAnsi="Calibri"/>
          <w:color w:val="3C3430"/>
          <w:sz w:val="21"/>
          <w:szCs w:val="21"/>
        </w:rPr>
        <w:t xml:space="preserve">Entorno de acogida: iluminación tenue, música ambiental, aromas apropiados, temperatura confortable, disposición del espacio, recepción cálida.</w:t>
      </w:r>
    </w:p>
    <w:p>
      <w:pPr>
        <w:pStyle w:val="ListParagraph"/>
        <w:numPr>
          <w:ilvl w:val="0"/>
          <w:numId w:val="4"/>
        </w:numPr>
        <w:spacing w:after="70" w:line="300"/>
      </w:pPr>
      <w:r>
        <w:rPr>
          <w:rFonts w:ascii="Calibri" w:cs="Calibri" w:eastAsia="Calibri" w:hAnsi="Calibri"/>
          <w:color w:val="3C3430"/>
          <w:sz w:val="21"/>
          <w:szCs w:val="21"/>
        </w:rPr>
        <w:t xml:space="preserve">Orientación de la atención: meditación guiada, atención plena, observación de la respiración, visualizaciones compatibles.</w:t>
      </w:r>
    </w:p>
    <w:p>
      <w:pPr>
        <w:spacing w:after="200" w:line="320"/>
      </w:pPr>
      <w:r>
        <w:rPr>
          <w:rFonts w:ascii="Calibri" w:cs="Calibri" w:eastAsia="Calibri" w:hAnsi="Calibri"/>
          <w:b w:val="false"/>
          <w:bCs w:val="false"/>
          <w:i w:val="false"/>
          <w:iCs w:val="false"/>
          <w:color w:val="3C3430"/>
          <w:sz w:val="21"/>
          <w:szCs w:val="21"/>
        </w:rPr>
        <w:t xml:space="preserve">Los recursos que instancian las funciones de comprensión no patologizante y de conexión social están documentados como Fichas 2 y 5 de la Biblioteca Metodológica (SER-BIB-V01).</w:t>
      </w:r>
    </w:p>
    <w:p>
      <w:pPr>
        <w:pStyle w:val="Heading3"/>
      </w:pPr>
      <w:r>
        <w:t xml:space="preserve">5.4 Nivel 4 — Protocolo de aplicación</w:t>
      </w:r>
    </w:p>
    <w:p>
      <w:pPr>
        <w:spacing w:after="260" w:line="320"/>
      </w:pPr>
      <w:r>
        <w:rPr>
          <w:rFonts w:ascii="Calibri" w:cs="Calibri" w:eastAsia="Calibri" w:hAnsi="Calibri"/>
          <w:b w:val="false"/>
          <w:bCs w:val="false"/>
          <w:i w:val="false"/>
          <w:iCs w:val="false"/>
          <w:color w:val="3C3430"/>
          <w:sz w:val="21"/>
          <w:szCs w:val="21"/>
        </w:rPr>
        <w:t xml:space="preserve">La ficha metodológica de cada recurso debe especificar: función metodológica que cumple; necesidad que responde; objetivo dentro de la experiencia; recursos compatibles; fundamento científico; indicadores esperados; precauciones. El formato oficial de ficha es el utilizado en la Biblioteca Metodológica (SER-BIB-V01).</w:t>
      </w:r>
    </w:p>
    <w:p>
      <w:pPr>
        <w:pStyle w:val="Heading2"/>
      </w:pPr>
      <w:r>
        <w:t xml:space="preserve">Historial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5260"/>
        <w:gridCol w:w="1500"/>
      </w:tblGrid>
      <w:tr>
        <w:tc>
          <w:tcPr>
            <w:tcW w:type="dxa" w:w="16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Fecha</w:t>
            </w:r>
          </w:p>
        </w:tc>
        <w:tc>
          <w:tcPr>
            <w:tcW w:type="dxa" w:w="10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Versión</w:t>
            </w:r>
          </w:p>
        </w:tc>
        <w:tc>
          <w:tcPr>
            <w:tcW w:type="dxa" w:w="526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Cambio</w:t>
            </w:r>
          </w:p>
        </w:tc>
        <w:tc>
          <w:tcPr>
            <w:tcW w:type="dxa" w:w="15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Resolución asociada</w:t>
            </w:r>
          </w:p>
        </w:tc>
      </w:tr>
      <w:tr>
        <w:tc>
          <w:tcPr>
            <w:tcW w:type="dxa" w:w="16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30 de junio de 2026</w:t>
            </w:r>
          </w:p>
        </w:tc>
        <w:tc>
          <w:tcPr>
            <w:tcW w:type="dxa" w:w="10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3C3430"/>
                <w:sz w:val="20"/>
                <w:szCs w:val="20"/>
              </w:rPr>
              <w:t xml:space="preserve">1.0</w:t>
            </w:r>
          </w:p>
        </w:tc>
        <w:tc>
          <w:tcPr>
            <w:tcW w:type="dxa" w:w="526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Consolidación de los Capítulos 1-5 en un único documento versionado. Cap. 1 reducido a los cinco principios. Cap. 2 actualizado con referencia al Núcleo Maestro y tabla de correspondencia de fases. Cap. 5 (SMR) actualizado con dos funciones metodológicas antes ausentes.</w:t>
            </w:r>
          </w:p>
        </w:tc>
        <w:tc>
          <w:tcPr>
            <w:tcW w:type="dxa" w:w="15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R1, R2, R3, R4</w:t>
            </w:r>
          </w:p>
        </w:tc>
      </w:tr>
    </w:tbl>
    <w:p>
      <w:pPr>
        <w:spacing w:after="200"/>
      </w:pP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459"/>
        <w:sz w:val="16"/>
        <w:szCs w:val="16"/>
      </w:rPr>
      <w:t xml:space="preserve">Ecosistema Serenamente — congelado bajo SER-REF-01   ·   Página </w:t>
    </w:r>
    <w:r>
      <w:rPr>
        <w:rFonts w:ascii="Calibri" w:cs="Calibri" w:eastAsia="Calibri" w:hAnsi="Calibri"/>
        <w:color w:val="6E64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D9C9" w:sz="4" w:space="4"/>
      </w:pBdr>
      <w:tabs>
        <w:tab w:val="right" w:pos="9026"/>
      </w:tabs>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Calibri" w:cs="Calibri" w:eastAsia="Calibri" w:hAnsi="Calibri"/>
        <w:color w:val="6E6459"/>
        <w:sz w:val="16"/>
        <w:szCs w:val="16"/>
      </w:rPr>
      <w:t xml:space="preserve">	SER-MM-01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rPr>
        <w:color w:val="E2775E"/>
      </w:rPr>
    </w:lvl>
  </w:abstractNum>
  <w:abstractNum w:abstractNumId="3" w15:restartNumberingAfterBreak="0">
    <w:multiLevelType w:val="hybridMultilevel"/>
    <w:lvl w:ilvl="0" w15:tentative="1">
      <w:start w:val="1"/>
      <w:numFmt w:val="bullet"/>
      <w:lvlText w:val="–"/>
      <w:lvlJc w:val="left"/>
      <w:pPr>
        <w:ind w:left="560" w:hanging="300"/>
      </w:pPr>
      <w:rPr>
        <w:color w:val="4E6653"/>
      </w:rPr>
    </w:lvl>
  </w:abstractNum>
  <w:abstractNum w:abstractNumId="4" w15:restartNumberingAfterBreak="0">
    <w:multiLevelType w:val="hybridMultilevel"/>
    <w:lvl w:ilvl="0" w15:tentative="1">
      <w:start w:val="1"/>
      <w:numFmt w:val="decimal"/>
      <w:lvlText w:val="%1."/>
      <w:lvlJc w:val="left"/>
      <w:pPr>
        <w:ind w:left="560" w:hanging="300"/>
      </w:pPr>
      <w:rPr>
        <w:b/>
        <w:bCs/>
        <w:color w:val="C85F49"/>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C3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CA290" w:sz="6" w:space="6"/>
      </w:pBdr>
      <w:spacing w:after="200" w:before="320"/>
      <w:outlineLvl w:val="0"/>
    </w:pPr>
    <w:rPr>
      <w:rFonts w:ascii="Georgia" w:cs="Georgia" w:eastAsia="Georgia" w:hAnsi="Georgia"/>
      <w:b/>
      <w:bCs/>
      <w:color w:val="C85F49"/>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4E6653"/>
      <w:sz w:val="25"/>
      <w:szCs w:val="25"/>
    </w:rPr>
  </w:style>
  <w:style w:type="paragraph" w:styleId="Heading3">
    <w:name w:val="Heading 3"/>
    <w:basedOn w:val="Normal"/>
    <w:next w:val="Normal"/>
    <w:qFormat/>
    <w:pPr>
      <w:spacing w:after="90" w:before="200"/>
      <w:outlineLvl w:val="2"/>
    </w:pPr>
    <w:rPr>
      <w:rFonts w:ascii="Georgia" w:cs="Georgia" w:eastAsia="Georgia" w:hAnsi="Georgia"/>
      <w:b/>
      <w:bCs/>
      <w:color w:val="3C34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b4b7c3afe9ac0d42447139e877a66f6aecf14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b4b7c3afe9ac0d42447139e877a66f6aecf14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2026-07-02T03:12:12.745Z</dcterms:created>
  <dcterms:modified xsi:type="dcterms:W3CDTF">2026-07-02T03:12:12.745Z</dcterms:modified>
</cp:coreProperties>
</file>

<file path=docProps/custom.xml><?xml version="1.0" encoding="utf-8"?>
<Properties xmlns="http://schemas.openxmlformats.org/officeDocument/2006/custom-properties" xmlns:vt="http://schemas.openxmlformats.org/officeDocument/2006/docPropsVTypes"/>
</file>