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6EE"/>
  <w:body>
    <w:p>
      <w:pPr>
        <w:spacing w:after="140" w:before="100"/>
        <w:jc w:val="center"/>
      </w:pPr>
      <w:r>
        <w:drawing>
          <wp:inline distT="0" distB="0" distL="0" distR="0">
            <wp:extent cx="9144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Calibri" w:cs="Calibri" w:eastAsia="Calibri" w:hAnsi="Calibri"/>
          <w:color w:val="6E6459"/>
          <w:sz w:val="18"/>
          <w:szCs w:val="18"/>
        </w:rPr>
        <w:t xml:space="preserve">CAPA TRANSVERSAL — Niveles 5, 6 y 7</w:t>
      </w:r>
    </w:p>
    <w:p>
      <w:pPr>
        <w:spacing w:after="160"/>
        <w:jc w:val="center"/>
      </w:pPr>
      <w:r>
        <w:rPr>
          <w:rFonts w:ascii="Georgia" w:cs="Georgia" w:eastAsia="Georgia" w:hAnsi="Georgia"/>
          <w:b/>
          <w:bCs/>
          <w:color w:val="3C3430"/>
          <w:sz w:val="42"/>
          <w:szCs w:val="42"/>
        </w:rPr>
        <w:t xml:space="preserve">Sistema de Diseño Editorial</w:t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6E6459"/>
          <w:sz w:val="21"/>
          <w:szCs w:val="21"/>
        </w:rPr>
        <w:t xml:space="preserve">Biblioteca de Componentes Serenamente (BCS). Reúne todos los elementos visuales reutilizables del ecosistema.</w:t>
      </w:r>
    </w:p>
    <w:p>
      <w:pPr>
        <w:pStyle w:val="Heading2"/>
      </w:pPr>
      <w:r>
        <w:t xml:space="preserve">Control documental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Código documental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SER-BCS-01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Estado documental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🔴 Obsoleto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Fecha de publicación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30 de junio de 2026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Propietario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Redactor Institucional (contenido); Diseñador de sistemas complejos (consistencia visual)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Documentos relacionados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Capa transversal — aplica sobre SER-MAPA-01 Niveles 5, 6 y 7; usada por SER-GF-01, SER-FAP-01, SER-BIB-V01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Próxima revisión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Al incorporarse un nuevo tipo de pieza o producto (Equilibria, cursos, programas)</w:t>
            </w:r>
          </w:p>
        </w:tc>
      </w:tr>
    </w:tbl>
    <w:p>
      <w:pPr>
        <w:spacing w:after="260"/>
      </w:pPr>
    </w:p>
    <w:p>
      <w:pPr>
        <w:pStyle w:val="Heading2"/>
      </w:pPr>
      <w:r>
        <w:t xml:space="preserve">Principios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Claridad — debe comprenderse en menos de tres segundos.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Respiración visual — debe dejar suficiente espacio alrededor para no saturar.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Coherencia — debe verse igual en la web, PDFs, presentaciones e infografías.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Función emocional — debe apoyar el estado de regulación de la persona.</w:t>
      </w:r>
    </w:p>
    <w:p>
      <w:pPr>
        <w:spacing w:after="240"/>
      </w:pPr>
    </w:p>
    <w:p>
      <w:pPr>
        <w:pStyle w:val="Heading2"/>
      </w:pPr>
      <w:r>
        <w:t xml:space="preserve">Componentes para materiales del participante</w:t>
      </w:r>
    </w:p>
    <w:p>
      <w:pPr>
        <w:pStyle w:val="Heading3"/>
      </w:pPr>
      <w:r>
        <w:t xml:space="preserve">C01 — Encabezado de experiencia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Logo Serenamente, nombre de la experiencia, subtítulo breve, ilustración pequeña (opcional). Ejemplo: “Respirar para Avanzar — Una pausa para comprender tu estrés y recuperar calma.”</w:t>
      </w:r>
    </w:p>
    <w:p>
      <w:pPr>
        <w:pStyle w:val="Heading3"/>
      </w:pPr>
      <w:r>
        <w:t xml:space="preserve">C02 — Etiqueta de categoría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Cápsula superior de color suave y espacio interior generoso (ej. “🌿 Acompañamiento emocional”, “🧠 Neurociencia aplicada”, “💙 Regulación emocional”, “☕ Ritual de pausa”).</w:t>
      </w:r>
    </w:p>
    <w:p>
      <w:pPr>
        <w:pStyle w:val="Heading3"/>
      </w:pPr>
      <w:r>
        <w:t xml:space="preserve">C03 — Tarjeta de herramienta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Contiene icono, nombre, cuándo utilizarla, cómo hacerlo y qué esperar.</w:t>
      </w:r>
    </w:p>
    <w:p>
      <w:pPr>
        <w:pStyle w:val="Heading3"/>
      </w:pPr>
      <w:r>
        <w:t xml:space="preserve">C04 — Caja “Recuerda”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Bloque visual con una sola idea. Ejemplo: “Tu cuerpo intenta protegerte, incluso cuando se equivoca.”</w:t>
      </w:r>
    </w:p>
    <w:p>
      <w:pPr>
        <w:pStyle w:val="Heading3"/>
      </w:pPr>
      <w:r>
        <w:t xml:space="preserve">C05 — Caja “Comprende”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Explicaciones breves de neurociencia, siempre en lenguaje cotidiano, máximo 80 palabras.</w:t>
      </w:r>
    </w:p>
    <w:p>
      <w:pPr>
        <w:pStyle w:val="Heading3"/>
      </w:pPr>
      <w:r>
        <w:t xml:space="preserve">C06 — Caja “Prueba ahora”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Invitación inmediata a un ejercicio. Ejemplo: “Respira tres veces antes de continuar leyendo.”</w:t>
      </w:r>
    </w:p>
    <w:p>
      <w:pPr>
        <w:pStyle w:val="Heading3"/>
      </w:pPr>
      <w:r>
        <w:t xml:space="preserve">C07 — Paso a paso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Numeración clara, máximo cinco pasos, nunca listas largas.</w:t>
      </w:r>
    </w:p>
    <w:p>
      <w:pPr>
        <w:pStyle w:val="Heading3"/>
      </w:pPr>
      <w:r>
        <w:t xml:space="preserve">C08 — Frase de Helen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Formato de cita, aporta cercanía humana. Ejemplo: “No buscamos eliminar las emociones; buscamos comprenderlas para caminar con ellas.”</w:t>
      </w:r>
    </w:p>
    <w:p>
      <w:pPr>
        <w:pStyle w:val="Heading3"/>
      </w:pPr>
      <w:r>
        <w:t xml:space="preserve">C09 — Advertencia metodológica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Color suave, nunca rojo intenso. Se utiliza para contraindicaciones, recomendaciones y derivación. Ejemplo: “Si esta práctica aumenta tu malestar, detente y conversa con un profesional.”</w:t>
      </w:r>
    </w:p>
    <w:p>
      <w:pPr>
        <w:pStyle w:val="Heading3"/>
      </w:pPr>
      <w:r>
        <w:t xml:space="preserve">C10 — Ritual de cierre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Siempre al final: una frase breve, el logo, una invitación amable. Ejemplo: “Hoy elegiste regalarte una pausa. Respira. Comprende. Regula. Avanza.”</w:t>
      </w:r>
    </w:p>
    <w:p>
      <w:pPr>
        <w:pStyle w:val="Heading2"/>
      </w:pPr>
      <w:r>
        <w:t xml:space="preserve">Componentes exclusivos para el facilitador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F01 — Nota metodológica: solo en documentos internos; no se entrega al participante.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F02 — Adaptación del protocolo: qué hacer si hay poco tiempo, aparece una emoción intensa, el grupo participa poco, o sobra tiempo.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F03 — Observación clínica: solo para profesionales; nunca aparece en material público.</w:t>
      </w:r>
    </w:p>
    <w:p>
      <w:pPr>
        <w:pStyle w:val="Heading2"/>
      </w:pPr>
      <w:r>
        <w:t xml:space="preserve">Componentes para Equilibria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E01 — Tarjeta de seguimiento: estado actual, recurso sugerido, registro.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E02 — Tarjeta de progreso: muestra pequeños avances, nunca usa lenguaje de éxito o fracaso.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E03 — Micro ejercicio: pensado para menos de un minuto.</w:t>
      </w:r>
    </w:p>
    <w:p>
      <w:pPr>
        <w:pStyle w:val="Heading2"/>
      </w:pPr>
      <w:r>
        <w:t xml:space="preserve">Componentes para presentaciones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Cada diapositiva contiene una única idea principal, siguiendo la secuencia: pregunta, explicación, ejemplo, herramienta, reflexión.</w:t>
      </w:r>
    </w:p>
    <w:p>
      <w:pPr>
        <w:pStyle w:val="Heading2"/>
      </w:pPr>
      <w:r>
        <w:t xml:space="preserve">Componentes para fichas del participante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Toda Ficha de Apoyo al Participante (SER-FAP-01) debe incluir: portada, lo que aprendiste hoy, herramientas prácticas, lo importante que quiero que recuerdes, qué hacer si vuelve el malestar, y mensaje final.</w:t>
      </w:r>
    </w:p>
    <w:p>
      <w:pPr>
        <w:pStyle w:val="Heading2"/>
      </w:pPr>
      <w:r>
        <w:t xml:space="preserve">Componentes para futuras aplicaciones</w:t>
      </w:r>
    </w:p>
    <w:p>
      <w:pPr>
        <w:spacing w:after="2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La Biblioteca también sirve para Orienta, Equilibria, cursos, programas para colegios, empresas, familias, comunidad y material de capacitación, de modo que cualquier nuevo producto reutilice los mismos componentes y conserve la identidad Serenamente.</w:t>
      </w:r>
    </w:p>
    <w:p>
      <w:pPr>
        <w:pStyle w:val="Heading2"/>
      </w:pPr>
      <w:r>
        <w:t xml:space="preserve">Historial de cambios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5260"/>
        <w:gridCol w:w="1500"/>
      </w:tblGrid>
      <w:tr>
        <w:tc>
          <w:tcPr>
            <w:tcW w:type="dxa" w:w="1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277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10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277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52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277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Cambio</w:t>
            </w:r>
          </w:p>
        </w:tc>
        <w:tc>
          <w:tcPr>
            <w:tcW w:type="dxa" w:w="15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277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Resolución asociada</w:t>
            </w:r>
          </w:p>
        </w:tc>
      </w:tr>
      <w:tr>
        <w:tc>
          <w:tcPr>
            <w:tcW w:type="dxa" w:w="1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30 de junio de 2026</w:t>
            </w:r>
          </w:p>
        </w:tc>
        <w:tc>
          <w:tcPr>
            <w:tcW w:type="dxa" w:w="10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1.0</w:t>
            </w:r>
          </w:p>
        </w:tc>
        <w:tc>
          <w:tcPr>
            <w:tcW w:type="dxa" w:w="52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Formalización del documento como capa transversal del Mapa Maestro (antes no representada); sin cambios de contenido visual respecto de la versión de trabajo previa.</w:t>
            </w:r>
          </w:p>
        </w:tc>
        <w:tc>
          <w:tcPr>
            <w:tcW w:type="dxa" w:w="15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R10</w:t>
            </w:r>
          </w:p>
        </w:tc>
      </w:tr>
      <w:tr>
        <w:tc>
          <w:tcPr>
            <w:tcW w:type="dxa" w:w="1600"/>
          </w:tcPr>
          <w:p>
            <w:r>
              <w:t xml:space="preserve">13 de julio de 2026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5260"/>
          </w:tcPr>
          <w:p>
            <w:r>
              <w:t xml:space="preserve">Documento retirado como autoridad visual. Las nuevas piezas se diseñan a partir de la carpeta recursos visuales y del encargo específico, sin imponer sus antiguos tokens ni componentes.</w:t>
            </w:r>
          </w:p>
        </w:tc>
        <w:tc>
          <w:tcPr>
            <w:tcW w:type="dxa" w:w="1500"/>
          </w:tcPr>
          <w:p>
            <w:r>
              <w:t xml:space="preserve">Confirmación explícita de la Fundadora en esta tarea, 13 de julio de 2026.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459"/>
        <w:sz w:val="16"/>
        <w:szCs w:val="16"/>
      </w:rPr>
      <w:t xml:space="preserve">Ecosistema Serenamente — congelado bajo SER-REF-01   ·   Página </w:t>
    </w:r>
    <w:r>
      <w:rPr>
        <w:rFonts w:ascii="Calibri" w:cs="Calibri" w:eastAsia="Calibri" w:hAnsi="Calibri"/>
        <w:color w:val="6E64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AD9C9" w:sz="4" w:space="4"/>
      </w:pBdr>
      <w:tabs>
        <w:tab w:val="right" w:pos="9026"/>
      </w:tabs>
    </w:pP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6E6459"/>
        <w:sz w:val="16"/>
        <w:szCs w:val="16"/>
      </w:rPr>
      <w:t xml:space="preserve">	SER-BCS-01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00"/>
      </w:pPr>
      <w:rPr>
        <w:color w:val="E2775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300"/>
      </w:pPr>
      <w:rPr>
        <w:color w:val="4E6653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  <w:rPr>
        <w:b/>
        <w:bCs/>
        <w:color w:val="C85F49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C34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CA290" w:sz="6" w:space="6"/>
      </w:pBdr>
      <w:spacing w:after="200" w:before="320"/>
      <w:outlineLvl w:val="0"/>
    </w:pPr>
    <w:rPr>
      <w:rFonts w:ascii="Georgia" w:cs="Georgia" w:eastAsia="Georgia" w:hAnsi="Georgia"/>
      <w:b/>
      <w:bCs/>
      <w:color w:val="C85F4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Georgia" w:cs="Georgia" w:eastAsia="Georgia" w:hAnsi="Georgia"/>
      <w:b/>
      <w:bCs/>
      <w:color w:val="4E665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200"/>
      <w:outlineLvl w:val="2"/>
    </w:pPr>
    <w:rPr>
      <w:rFonts w:ascii="Georgia" w:cs="Georgia" w:eastAsia="Georgia" w:hAnsi="Georgia"/>
      <w:b/>
      <w:bCs/>
      <w:color w:val="3C343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ab4b7c3afe9ac0d42447139e877a66f6aecf14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ab4b7c3afe9ac0d42447139e877a66f6aecf14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2026-07-02T03:12:13.193Z</dcterms:created>
  <dcterms:modified xsi:type="dcterms:W3CDTF">2026-07-02T03:12:13.193Z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