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68"/>
        <w:gridCol w:w="2880"/>
      </w:tblGrid>
      <w:tr>
        <w:tc>
          <w:tcPr>
            <w:tcW w:type="dxa" w:w="67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404040"/>
                <w:sz w:val="50"/>
              </w:rPr>
              <w:t>Chem Catalysis checklists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19072" cy="4125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pres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072" cy="412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6400800" cy="400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_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 w:line="240" w:lineRule="auto"/>
        <w:jc w:val="left"/>
      </w:pPr>
      <w:r>
        <w:rPr>
          <w:rFonts w:ascii="Arial" w:hAnsi="Arial" w:eastAsia="Arial" w:cs="Arial"/>
          <w:color w:val="5C5C5C"/>
          <w:sz w:val="20"/>
        </w:rPr>
        <w:t>Revision 1.0, Last updated: April 04, 2026</w:t>
      </w:r>
    </w:p>
    <w:p>
      <w:pPr>
        <w:spacing w:after="60" w:before="0" w:line="269" w:lineRule="auto"/>
        <w:ind w:left="0"/>
        <w:jc w:val="left"/>
      </w:pPr>
      <w:r>
        <w:rPr>
          <w:rFonts w:ascii="Arial" w:hAnsi="Arial" w:eastAsia="Arial" w:cs="Arial"/>
          <w:color w:val="5C5C5C"/>
          <w:sz w:val="24"/>
        </w:rPr>
        <w:t xml:space="preserve">»  </w:t>
      </w:r>
      <w:r>
        <w:rPr>
          <w:rFonts w:ascii="Arial" w:hAnsi="Arial" w:eastAsia="Arial" w:cs="Arial"/>
          <w:i/>
          <w:color w:val="5C5C5C"/>
          <w:sz w:val="24"/>
        </w:rPr>
        <w:t>Chem Catalysis</w:t>
      </w:r>
      <w:r>
        <w:rPr>
          <w:rFonts w:ascii="Arial" w:hAnsi="Arial" w:eastAsia="Arial" w:cs="Arial"/>
          <w:color w:val="5C5C5C"/>
          <w:sz w:val="24"/>
        </w:rPr>
        <w:t xml:space="preserve"> has compiled these checklists to foster improved rigor and reproducibility in research and increased clarity and transparency in data reporting.</w:t>
      </w:r>
    </w:p>
    <w:p>
      <w:pPr>
        <w:spacing w:after="60" w:before="0" w:line="269" w:lineRule="auto"/>
        <w:ind w:left="0"/>
        <w:jc w:val="left"/>
      </w:pPr>
      <w:r>
        <w:rPr>
          <w:rFonts w:ascii="Arial" w:hAnsi="Arial" w:eastAsia="Arial" w:cs="Arial"/>
          <w:color w:val="5C5C5C"/>
          <w:sz w:val="24"/>
        </w:rPr>
        <w:t xml:space="preserve">»  </w:t>
      </w:r>
      <w:r>
        <w:rPr>
          <w:rFonts w:ascii="Arial" w:hAnsi="Arial" w:eastAsia="Arial" w:cs="Arial"/>
          <w:color w:val="5C5C5C"/>
          <w:sz w:val="24"/>
        </w:rPr>
        <w:t>Authors are encouraged to include the completed checklists as supplemental information at the time of submission. The checklists will be included in the supplemental information of published articles.</w:t>
      </w:r>
    </w:p>
    <w:p>
      <w:pPr>
        <w:spacing w:after="60" w:before="0" w:line="269" w:lineRule="auto"/>
        <w:ind w:left="0"/>
        <w:jc w:val="left"/>
      </w:pPr>
      <w:r>
        <w:rPr>
          <w:rFonts w:ascii="Arial" w:hAnsi="Arial" w:eastAsia="Arial" w:cs="Arial"/>
          <w:color w:val="5C5C5C"/>
          <w:sz w:val="24"/>
        </w:rPr>
        <w:t xml:space="preserve">»  </w:t>
      </w:r>
      <w:r>
        <w:rPr>
          <w:rFonts w:ascii="Arial" w:hAnsi="Arial" w:eastAsia="Arial" w:cs="Arial"/>
          <w:color w:val="5C5C5C"/>
          <w:sz w:val="24"/>
        </w:rPr>
        <w:t>Rather than check off all items on the list, authors should mark only those items that apply to their article.</w:t>
      </w:r>
    </w:p>
    <w:p>
      <w:pPr>
        <w:spacing w:before="360" w:after="280" w:line="240" w:lineRule="auto"/>
        <w:jc w:val="center"/>
      </w:pPr>
      <w:r>
        <w:rPr>
          <w:rFonts w:ascii="Arial" w:hAnsi="Arial" w:eastAsia="Arial" w:cs="Arial"/>
          <w:b/>
          <w:color w:val="0096CF"/>
          <w:sz w:val="30"/>
        </w:rPr>
        <w:t>The following checklist is relevant for this manuscript:</w:t>
      </w:r>
    </w:p>
    <w:p>
      <w:pPr>
        <w:spacing w:before="12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0"/>
        <w:gridCol w:w="8352"/>
      </w:tblGrid>
      <w:tr>
        <w:tc>
          <w:tcPr>
            <w:tcW w:type="dxa" w:w="7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5C5C5C"/>
                <w:sz w:val="36"/>
              </w:rPr>
              <w:t>□</w:t>
            </w:r>
          </w:p>
        </w:tc>
        <w:tc>
          <w:tcPr>
            <w:tcW w:type="dxa" w:w="83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 w:cs="Arial"/>
                <w:b/>
                <w:color w:val="0096CF"/>
                <w:sz w:val="36"/>
              </w:rPr>
              <w:t>TRACE-AI checklist</w:t>
            </w:r>
          </w:p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 w:cs="Arial"/>
                <w:color w:val="5C5C5C"/>
                <w:sz w:val="25"/>
              </w:rPr>
              <w:t>Transparent Reporting for Agentic Catalysis Enabled by Artificial Intelligence</w:t>
            </w:r>
          </w:p>
          <w:p>
            <w:pPr>
              <w:spacing w:before="0" w:after="0" w:line="259" w:lineRule="auto"/>
              <w:jc w:val="left"/>
            </w:pPr>
            <w:hyperlink r:id="rId11">
              <w:r>
                <w:rPr>
                  <w:rStyle w:val="Hyperlink"/>
                  <w:color w:val="0563C1"/>
                  <w:u w:val="single"/>
                  <w:rFonts w:ascii="Arial" w:hAnsi="Arial" w:eastAsia="Arial" w:cs="Arial"/>
                  <w:sz w:val="23"/>
                  <w:szCs w:val="23"/>
                </w:rPr>
                <w:t>https://github.com/trace-ai-org/trace-ai-checklist</w:t>
              </w:r>
            </w:hyperlink>
          </w:p>
        </w:tc>
      </w:tr>
    </w:tbl>
    <w:p>
      <w:pPr>
        <w:spacing w:before="720" w:after="160" w:line="240" w:lineRule="auto"/>
        <w:jc w:val="left"/>
      </w:pPr>
      <w:r>
        <w:rPr>
          <w:rFonts w:ascii="Arial" w:hAnsi="Arial" w:eastAsia="Arial" w:cs="Arial"/>
          <w:b/>
          <w:color w:val="0096CF"/>
          <w:sz w:val="30"/>
        </w:rPr>
        <w:t>Sustainability remarks</w:t>
      </w:r>
    </w:p>
    <w:p>
      <w:pPr>
        <w:spacing w:before="0" w:after="120" w:line="259" w:lineRule="auto"/>
        <w:ind w:left="360"/>
        <w:jc w:val="left"/>
      </w:pPr>
      <w:r>
        <w:rPr>
          <w:rFonts w:ascii="Arial" w:hAnsi="Arial" w:eastAsia="Arial" w:cs="Arial"/>
          <w:color w:val="5C5C5C"/>
          <w:sz w:val="28"/>
        </w:rPr>
        <w:t xml:space="preserve">□  </w:t>
      </w:r>
      <w:r>
        <w:rPr>
          <w:rFonts w:ascii="Arial" w:hAnsi="Arial" w:eastAsia="Arial" w:cs="Arial"/>
          <w:color w:val="5C5C5C"/>
          <w:sz w:val="25"/>
        </w:rPr>
        <w:t>“Principles of green chemistry” have been considered in designing and conducting the research</w:t>
      </w:r>
    </w:p>
    <w:p>
      <w:pPr>
        <w:spacing w:before="0" w:after="0" w:line="259" w:lineRule="auto"/>
        <w:ind w:left="691"/>
      </w:pPr>
      <w:r>
        <w:rPr>
          <w:rFonts w:ascii="Arial" w:hAnsi="Arial" w:eastAsia="Arial" w:cs="Arial"/>
          <w:color w:val="5C5C5C"/>
          <w:sz w:val="23"/>
        </w:rPr>
        <w:t xml:space="preserve">For more information, please see </w:t>
      </w:r>
      <w:hyperlink r:id="rId12">
        <w:r>
          <w:rPr>
            <w:rStyle w:val="Hyperlink"/>
            <w:color w:val="0563C1"/>
            <w:u w:val="single"/>
            <w:rFonts w:ascii="Arial" w:hAnsi="Arial" w:eastAsia="Arial" w:cs="Arial"/>
            <w:sz w:val="23"/>
            <w:szCs w:val="23"/>
          </w:rPr>
          <w:t>https://www.acs.org/content/acs/en/greenchemistry/principles/12-principles-of-green-chemistry.html</w:t>
        </w:r>
      </w:hyperlink>
    </w:p>
    <w:p>
      <w:pPr>
        <w:spacing w:before="132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928"/>
        <w:gridCol w:w="360"/>
      </w:tblGrid>
      <w:tr>
        <w:tc>
          <w:tcPr>
            <w:tcW w:type="dxa" w:w="89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5C5C5C"/>
                <w:sz w:val="24"/>
              </w:rPr>
              <w:t>I verify that, to the best of my knowledge, this form is completed accurately in agreement with all co-authors</w:t>
            </w:r>
          </w:p>
        </w:tc>
        <w:tc>
          <w:tcPr>
            <w:tcW w:type="dxa" w:w="3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 w:cs="Arial"/>
                <w:color w:val="5C5C5C"/>
                <w:sz w:val="31"/>
              </w:rPr>
              <w:t>□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08"/>
        <w:gridCol w:w="6912"/>
      </w:tblGrid>
      <w:tr>
        <w:tc>
          <w:tcPr>
            <w:tcW w:type="dxa" w:w="280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120" w:after="0" w:line="240" w:lineRule="auto"/>
            </w:pPr>
            <w:r>
              <w:rPr>
                <w:rFonts w:ascii="Arial" w:hAnsi="Arial" w:eastAsia="Arial" w:cs="Arial"/>
                <w:color w:val="5C5C5C"/>
                <w:sz w:val="24"/>
              </w:rPr>
              <w:t>Submitting author name:</w:t>
            </w:r>
          </w:p>
        </w:tc>
        <w:tc>
          <w:tcPr>
            <w:tcW w:type="dxa" w:w="6912"/>
            <w:tcBorders>
              <w:top w:val="nil"/>
              <w:left w:val="nil"/>
              <w:bottom w:val="single" w:sz="8" w:space="0" w:color="8A8A8A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160" w:after="0" w:line="240" w:lineRule="auto"/>
        <w:jc w:val="center"/>
      </w:pPr>
      <w:r>
        <w:rPr>
          <w:rFonts w:ascii="Arial" w:hAnsi="Arial" w:eastAsia="Arial" w:cs="Arial"/>
          <w:color w:val="5C5C5C"/>
          <w:sz w:val="22"/>
        </w:rPr>
        <w:t xml:space="preserve">For general queries or feedback regarding this form, please email </w:t>
      </w:r>
      <w:hyperlink r:id="rId13">
        <w:r>
          <w:rPr>
            <w:rStyle w:val="Hyperlink"/>
            <w:color w:val="0563C1"/>
            <w:u w:val="single"/>
            <w:rFonts w:ascii="Arial" w:hAnsi="Arial" w:eastAsia="Arial" w:cs="Arial"/>
            <w:sz w:val="22"/>
            <w:szCs w:val="22"/>
          </w:rPr>
          <w:t>catalysis@cell.com</w:t>
        </w:r>
      </w:hyperlink>
    </w:p>
    <w:p>
      <w:pPr>
        <w:sectPr>
          <w:pgSz w:w="12240" w:h="15840"/>
          <w:pgMar w:top="835" w:right="1037" w:bottom="749" w:left="1037" w:header="288" w:footer="288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68"/>
        <w:gridCol w:w="2880"/>
      </w:tblGrid>
      <w:tr>
        <w:tc>
          <w:tcPr>
            <w:tcW w:type="dxa" w:w="676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404040"/>
                <w:sz w:val="49"/>
              </w:rPr>
              <w:t>TRACE-AI checklist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19072" cy="41257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llpres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072" cy="412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6400800" cy="400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_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 w:line="240" w:lineRule="auto"/>
        <w:jc w:val="left"/>
      </w:pPr>
      <w:r>
        <w:rPr>
          <w:rFonts w:ascii="Arial" w:hAnsi="Arial" w:eastAsia="Arial" w:cs="Arial"/>
          <w:color w:val="5C5C5C"/>
          <w:sz w:val="20"/>
        </w:rPr>
        <w:t>Revision 1.0, Last updated: April 04, 2026</w:t>
      </w:r>
    </w:p>
    <w:p>
      <w:pPr>
        <w:spacing w:before="0" w:after="100" w:line="245" w:lineRule="auto"/>
        <w:jc w:val="left"/>
      </w:pPr>
      <w:r>
        <w:rPr>
          <w:rFonts w:ascii="Arial" w:hAnsi="Arial" w:eastAsia="Arial" w:cs="Arial"/>
          <w:b/>
          <w:color w:val="404040"/>
          <w:sz w:val="22"/>
        </w:rPr>
        <w:t xml:space="preserve">Table 1 | TRACE-AI checklist. </w:t>
      </w:r>
      <w:r>
        <w:rPr>
          <w:rFonts w:ascii="Arial" w:hAnsi="Arial" w:eastAsia="Arial" w:cs="Arial"/>
          <w:color w:val="404040"/>
          <w:sz w:val="22"/>
        </w:rPr>
        <w:t xml:space="preserve">Transparent Reporting for Agentic Catalysis Enabled by Artificial Intelligence, maintained at </w:t>
      </w:r>
      <w:hyperlink r:id="rId11">
        <w:r>
          <w:rPr>
            <w:rStyle w:val="Hyperlink"/>
            <w:color w:val="0563C1"/>
            <w:u w:val="single"/>
            <w:rFonts w:ascii="Arial" w:hAnsi="Arial" w:eastAsia="Arial" w:cs="Arial"/>
            <w:sz w:val="22"/>
            <w:szCs w:val="22"/>
          </w:rPr>
          <w:t>https://github.com/trace-ai-org/trace-ai-checklist</w:t>
        </w:r>
      </w:hyperlink>
      <w:r>
        <w:rPr>
          <w:rFonts w:ascii="Arial" w:hAnsi="Arial" w:eastAsia="Arial" w:cs="Arial"/>
          <w:color w:val="404040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303030"/>
          <w:left w:val="single" w:sz="8" w:space="0" w:color="303030"/>
          <w:bottom w:val="single" w:sz="8" w:space="0" w:color="303030"/>
          <w:right w:val="single" w:sz="8" w:space="0" w:color="303030"/>
          <w:insideH w:val="single" w:sz="8" w:space="0" w:color="303030"/>
          <w:insideV w:val="single" w:sz="8" w:space="0" w:color="303030"/>
        </w:tblBorders>
      </w:tblPr>
      <w:tblGrid>
        <w:gridCol w:w="8784"/>
        <w:gridCol w:w="1224"/>
      </w:tblGrid>
      <w:tr>
        <w:trPr>
          <w:tblHeader w:val="true"/>
          <w:cantSplit/>
        </w:trPr>
        <w:tc>
          <w:tcPr>
            <w:tcW w:type="dxa" w:w="8784"/>
            <w:shd w:fill="D9E3F2" w:val="clear" w:color="auto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404040"/>
                <w:sz w:val="21"/>
              </w:rPr>
              <w:t>Items to check (each should be verifiable in manuscript, SI, or linked artifacts)</w:t>
            </w:r>
          </w:p>
        </w:tc>
        <w:tc>
          <w:tcPr>
            <w:tcW w:type="dxa" w:w="1224"/>
            <w:shd w:fill="D9E3F2" w:val="clear" w:color="auto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eastAsia="Arial" w:cs="Arial"/>
                <w:b/>
                <w:color w:val="404040"/>
                <w:sz w:val="21"/>
              </w:rPr>
              <w:t>Y/N/N-</w:t>
              <w:br/>
              <w:t>A</w:t>
            </w:r>
          </w:p>
        </w:tc>
      </w:tr>
      <w:tr>
        <w:trPr>
          <w:cantSplit/>
        </w:trPr>
        <w:tc>
          <w:tcPr>
            <w:tcW w:type="dxa" w:w="10008"/>
            <w:gridSpan w:val="2"/>
            <w:shd w:fill="E6E6E6" w:val="clear" w:color="auto"/>
            <w:tcMar>
              <w:top w:w="35" w:type="dxa"/>
              <w:start w:w="85" w:type="dxa"/>
              <w:bottom w:w="3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404040"/>
                <w:sz w:val="22"/>
              </w:rPr>
              <w:t>A. Data Management</w:t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A1. Describe semantic and numerical harmonization steps and any unresolved issues when using multi-source data and heterogeneous data types (e.g., raw files, spreadsheets, literature).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A2. Provide processing code that regenerates the ML-ready dataset from source data, and state how dataset equivalence is checked (e.g., record counts, IDs).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A3. Define all input features or descriptors and their generation pipeline.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A4. Provide dataset identifiers, access details, and core metadata sufficient for reuse.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A5. State the policy on negative, failed, or suboptimal experiments and include them when informative.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10008"/>
            <w:gridSpan w:val="2"/>
            <w:shd w:fill="E6E6E6" w:val="clear" w:color="auto"/>
            <w:tcMar>
              <w:top w:w="35" w:type="dxa"/>
              <w:start w:w="85" w:type="dxa"/>
              <w:bottom w:w="3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404040"/>
                <w:sz w:val="22"/>
              </w:rPr>
              <w:t>B. Model Development</w:t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B1. Document the full model specification (architecture, hyperparameters, objective, versions).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B2. Describe data-splitting strategies implemented to prevent information leakage.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B3. Report performance metrics with appropriate uncertainty (e.g., confidence intervals) to avoid best-only reporting.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B4. Justify the choice of metrics and explicitly examine trade-offs for multi-objective tasks.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B5. Describe the uncertainty quantification method, its calibration, and how it is used in analysis or decision-making.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10008"/>
            <w:gridSpan w:val="2"/>
            <w:shd w:fill="E6E6E6" w:val="clear" w:color="auto"/>
            <w:tcMar>
              <w:top w:w="35" w:type="dxa"/>
              <w:start w:w="85" w:type="dxa"/>
              <w:bottom w:w="3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404040"/>
                <w:sz w:val="22"/>
              </w:rPr>
              <w:t>C. Workflow Integration</w:t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C1. Specify the agent policy, constraints, and acquisition or reward functions, and provide configuration details or pseudocode with versioning, including sources of stochasticity and parameters fixed across runs.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C2. Declare the level of autonomy and human oversight, and document any interventions or overrides during the campaign, including their frequency, rationale, and impact.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C3. Define stopping criteria and anomaly or failure-handling procedures, and report any aborted runs, exclusions, or post hoc corrections.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C4. Describe safety bounds, interlocks, and shutdown mechanisms, and explain how unsafe actions are prevented.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C5. Maintain a traceable record of the campaign trajectory, with summaries or representative segments when full detail is impractical, sufficient to support statistical reproducibility of agent behavior.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10008"/>
            <w:gridSpan w:val="2"/>
            <w:shd w:fill="E6E6E6" w:val="clear" w:color="auto"/>
            <w:tcMar>
              <w:top w:w="35" w:type="dxa"/>
              <w:start w:w="85" w:type="dxa"/>
              <w:bottom w:w="3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404040"/>
                <w:sz w:val="22"/>
              </w:rPr>
              <w:t>D. Tutorials, Notebooks, and Executable Artifacts</w:t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D1. Provide executable tutorials or notebooks illustrating key elements of data management, model development, and workflow integration.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D2. Link each tutorial or notebook to the relevant manuscript sections and checklist items, including versioning information where feasible.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  <w:tr>
        <w:trPr>
          <w:cantSplit/>
        </w:trPr>
        <w:tc>
          <w:tcPr>
            <w:tcW w:type="dxa" w:w="878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35" w:lineRule="auto"/>
              <w:jc w:val="left"/>
            </w:pPr>
            <w:r>
              <w:rPr>
                <w:rFonts w:ascii="Arial" w:hAnsi="Arial" w:eastAsia="Arial" w:cs="Arial"/>
                <w:color w:val="404040"/>
                <w:sz w:val="19"/>
              </w:rPr>
              <w:t>D3. Document the execution environment required to run the tutorials (e.g., container images, lockfiles, or environment specifications) to mitigate dependency and API drift.</w:t>
            </w:r>
          </w:p>
        </w:tc>
        <w:tc>
          <w:tcPr>
            <w:tcW w:type="dxa" w:w="1224"/>
            <w:tcMar>
              <w:top w:w="28" w:type="dxa"/>
              <w:start w:w="85" w:type="dxa"/>
              <w:bottom w:w="28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404040"/>
                <w:sz w:val="19"/>
              </w:rPr>
            </w:r>
          </w:p>
        </w:tc>
      </w:tr>
    </w:tbl>
    <w:sectPr w:rsidR="00FC693F" w:rsidRPr="0006063C" w:rsidSect="00034616">
      <w:footerReference w:type="default" r:id="rId14"/>
      <w:pgSz w:w="12240" w:h="15840"/>
      <w:pgMar w:top="605" w:right="922" w:bottom="605" w:left="92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 w:cs="Arial"/>
        <w:b/>
        <w:color w:val="0096CF"/>
        <w:sz w:val="21"/>
      </w:rPr>
      <w:t>TRACE-AI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5C5C5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trace-ai-org/trace-ai-checklist" TargetMode="External"/><Relationship Id="rId12" Type="http://schemas.openxmlformats.org/officeDocument/2006/relationships/hyperlink" Target="https://www.acs.org/content/acs/en/greenchemistry/principles/12-principles-of-green-chemistry.html" TargetMode="External"/><Relationship Id="rId13" Type="http://schemas.openxmlformats.org/officeDocument/2006/relationships/hyperlink" Target="mailto:catalysis@cel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