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FEBE" w14:textId="77777777" w:rsidR="001044E3" w:rsidRDefault="00000000">
      <w:pPr>
        <w:pStyle w:val="Heading1"/>
      </w:pPr>
      <w:r>
        <w:t>Failure taxonomy — research notes</w:t>
      </w:r>
    </w:p>
    <w:p w14:paraId="6D788C80" w14:textId="77777777" w:rsidR="001044E3" w:rsidRDefault="00000000">
      <w:r>
        <w:t xml:space="preserve">Background research behind the TRA-13 FailureCategory redesign. This is a record of what was read and why it changed the taxonomy — not the spec itself. The spec (definitions, boundaries, worked examples, versioning) lives in </w:t>
      </w:r>
      <w:r>
        <w:rPr>
          <w:i/>
        </w:rPr>
        <w:t>failure_taxonomy.md (failure_taxonomy.md)</w:t>
      </w:r>
      <w:r>
        <w:t>.</w:t>
      </w:r>
    </w:p>
    <w:p w14:paraId="44B2F44C" w14:textId="77777777" w:rsidR="001044E3" w:rsidRDefault="00000000">
      <w:pPr>
        <w:pStyle w:val="Heading2"/>
      </w:pPr>
      <w:r>
        <w:t>Why this research happened</w:t>
      </w:r>
    </w:p>
    <w:p w14:paraId="2052F3BC" w14:textId="77777777" w:rsidR="001044E3" w:rsidRDefault="00000000">
      <w:r>
        <w:t>The first pass at the taxonomy reasoned outward from one fixture (the refund-policy failure script): one worked example, generalized by guessing at what else might go wrong. That approach can't surface failure modes the fixture doesn't contain, and can't say whether the categories it already had were the right shape. This research replaces that guess with four published, evidence-backed taxonomies of real agent failures, plus one structural cross-check.</w:t>
      </w:r>
    </w:p>
    <w:p w14:paraId="295D2AE5" w14:textId="77777777" w:rsidR="001044E3" w:rsidRDefault="00000000">
      <w:pPr>
        <w:pStyle w:val="Heading2"/>
      </w:pPr>
      <w:r>
        <w:t>Sources</w:t>
      </w:r>
    </w:p>
    <w:tbl>
      <w:tblPr>
        <w:tblStyle w:val="TableGrid"/>
        <w:tblW w:w="0" w:type="auto"/>
        <w:tblLook w:val="04A0" w:firstRow="1" w:lastRow="0" w:firstColumn="1" w:lastColumn="0" w:noHBand="0" w:noVBand="1"/>
      </w:tblPr>
      <w:tblGrid>
        <w:gridCol w:w="3544"/>
        <w:gridCol w:w="2655"/>
        <w:gridCol w:w="2657"/>
      </w:tblGrid>
      <w:tr w:rsidR="001044E3" w14:paraId="1848E5A5" w14:textId="77777777">
        <w:tc>
          <w:tcPr>
            <w:tcW w:w="2880" w:type="dxa"/>
          </w:tcPr>
          <w:p w14:paraId="7643647C" w14:textId="77777777" w:rsidR="001044E3" w:rsidRDefault="00000000">
            <w:r>
              <w:rPr>
                <w:b/>
              </w:rPr>
              <w:t>Source</w:t>
            </w:r>
          </w:p>
        </w:tc>
        <w:tc>
          <w:tcPr>
            <w:tcW w:w="2880" w:type="dxa"/>
          </w:tcPr>
          <w:p w14:paraId="1272EC53" w14:textId="77777777" w:rsidR="001044E3" w:rsidRDefault="00000000">
            <w:r>
              <w:rPr>
                <w:b/>
              </w:rPr>
              <w:t>What it is</w:t>
            </w:r>
          </w:p>
        </w:tc>
        <w:tc>
          <w:tcPr>
            <w:tcW w:w="2880" w:type="dxa"/>
          </w:tcPr>
          <w:p w14:paraId="5DE0E89E" w14:textId="77777777" w:rsidR="001044E3" w:rsidRDefault="00000000">
            <w:r>
              <w:rPr>
                <w:b/>
              </w:rPr>
              <w:t>Scale / method</w:t>
            </w:r>
          </w:p>
        </w:tc>
      </w:tr>
      <w:tr w:rsidR="001044E3" w14:paraId="3B2295D4" w14:textId="77777777">
        <w:tc>
          <w:tcPr>
            <w:tcW w:w="2880" w:type="dxa"/>
          </w:tcPr>
          <w:p w14:paraId="3F9EA22A" w14:textId="77777777" w:rsidR="001044E3" w:rsidRDefault="00000000">
            <w:r>
              <w:rPr>
                <w:b/>
              </w:rPr>
              <w:t>MAST</w:t>
            </w:r>
            <w:r>
              <w:t xml:space="preserve"> — Cemri et al., </w:t>
            </w:r>
            <w:r>
              <w:rPr>
                <w:i/>
              </w:rPr>
              <w:t>"Why Do Multi-Agent LLM Systems Fail?" (https://arxiv.org/abs/2503.13657)</w:t>
            </w:r>
            <w:r>
              <w:t xml:space="preserve"> (2025)</w:t>
            </w:r>
          </w:p>
        </w:tc>
        <w:tc>
          <w:tcPr>
            <w:tcW w:w="2880" w:type="dxa"/>
          </w:tcPr>
          <w:p w14:paraId="43BFFA14" w14:textId="77777777" w:rsidR="001044E3" w:rsidRDefault="00000000">
            <w:r>
              <w:t>14 failure modes across 3 top-level categories: Specification &amp; System Design, Inter-Agent Misalignment, Task Verification &amp; Termination</w:t>
            </w:r>
          </w:p>
        </w:tc>
        <w:tc>
          <w:tcPr>
            <w:tcW w:w="2880" w:type="dxa"/>
          </w:tcPr>
          <w:p w14:paraId="36E99C6B" w14:textId="77777777" w:rsidR="001044E3" w:rsidRDefault="00000000">
            <w:r>
              <w:t>1,600+ annotated execution traces, 7 multi-agent frameworks, κ = 0.88 inter-annotator agreement</w:t>
            </w:r>
          </w:p>
        </w:tc>
      </w:tr>
      <w:tr w:rsidR="001044E3" w14:paraId="0665F758" w14:textId="77777777">
        <w:tc>
          <w:tcPr>
            <w:tcW w:w="2880" w:type="dxa"/>
          </w:tcPr>
          <w:p w14:paraId="38DAC181" w14:textId="77777777" w:rsidR="001044E3" w:rsidRDefault="00000000">
            <w:r>
              <w:rPr>
                <w:b/>
              </w:rPr>
              <w:t>AgentErrorTaxonomy / AgentErrorBench</w:t>
            </w:r>
            <w:r>
              <w:t xml:space="preserve"> — </w:t>
            </w:r>
            <w:r>
              <w:rPr>
                <w:i/>
              </w:rPr>
              <w:t>"Where LLM Agents Fail and How They can Learn From Failures" (https://arxiv.org/abs/2509.25370)</w:t>
            </w:r>
            <w:r>
              <w:t xml:space="preserve"> (2025)</w:t>
            </w:r>
          </w:p>
        </w:tc>
        <w:tc>
          <w:tcPr>
            <w:tcW w:w="2880" w:type="dxa"/>
          </w:tcPr>
          <w:p w14:paraId="3B3E4363" w14:textId="77777777" w:rsidR="001044E3" w:rsidRDefault="00000000">
            <w:r>
              <w:t>Single-agent taxonomy across 5 modules: memory, reflection, planning, action, system-level</w:t>
            </w:r>
          </w:p>
        </w:tc>
        <w:tc>
          <w:tcPr>
            <w:tcW w:w="2880" w:type="dxa"/>
          </w:tcPr>
          <w:p w14:paraId="5EABF86B" w14:textId="77777777" w:rsidR="001044E3" w:rsidRDefault="00000000">
            <w:r>
              <w:t>Annotated rollouts from ALFWorld, GAIA, WebShop</w:t>
            </w:r>
          </w:p>
        </w:tc>
      </w:tr>
      <w:tr w:rsidR="001044E3" w14:paraId="78EF5BAD" w14:textId="77777777">
        <w:tc>
          <w:tcPr>
            <w:tcW w:w="2880" w:type="dxa"/>
          </w:tcPr>
          <w:p w14:paraId="10CE8F9D" w14:textId="77777777" w:rsidR="001044E3" w:rsidRDefault="00000000">
            <w:r>
              <w:rPr>
                <w:b/>
              </w:rPr>
              <w:t>ToolScan</w:t>
            </w:r>
          </w:p>
        </w:tc>
        <w:tc>
          <w:tcPr>
            <w:tcW w:w="2880" w:type="dxa"/>
          </w:tcPr>
          <w:p w14:paraId="5F6826B1" w14:textId="77777777" w:rsidR="001044E3" w:rsidRDefault="00000000">
            <w:r>
              <w:t>7 recurring tool-use error patterns</w:t>
            </w:r>
          </w:p>
        </w:tc>
        <w:tc>
          <w:tcPr>
            <w:tcW w:w="2880" w:type="dxa"/>
          </w:tcPr>
          <w:p w14:paraId="39A13808" w14:textId="77777777" w:rsidR="001044E3" w:rsidRDefault="00000000">
            <w:r>
              <w:t>Pattern catalogue, no fixed corpus size reported in our notes</w:t>
            </w:r>
          </w:p>
        </w:tc>
      </w:tr>
      <w:tr w:rsidR="001044E3" w14:paraId="58EF05DF" w14:textId="77777777">
        <w:tc>
          <w:tcPr>
            <w:tcW w:w="2880" w:type="dxa"/>
          </w:tcPr>
          <w:p w14:paraId="119CF4B6" w14:textId="77777777" w:rsidR="001044E3" w:rsidRDefault="00000000">
            <w:r>
              <w:rPr>
                <w:b/>
              </w:rPr>
              <w:t>Barnett et al.</w:t>
            </w:r>
            <w:r>
              <w:t xml:space="preserve">, </w:t>
            </w:r>
            <w:r>
              <w:rPr>
                <w:i/>
              </w:rPr>
              <w:t>"Seven Failure Points When Engineering a Retrieval Augmented Generation System" (https://arxiv.org/abs/2401.05856)</w:t>
            </w:r>
            <w:r>
              <w:t xml:space="preserve"> (CAIN 2024)</w:t>
            </w:r>
          </w:p>
        </w:tc>
        <w:tc>
          <w:tcPr>
            <w:tcW w:w="2880" w:type="dxa"/>
          </w:tcPr>
          <w:p w14:paraId="4D649D25" w14:textId="77777777" w:rsidR="001044E3" w:rsidRDefault="00000000">
            <w:r>
              <w:t>7 RAG-specific failure points</w:t>
            </w:r>
          </w:p>
        </w:tc>
        <w:tc>
          <w:tcPr>
            <w:tcW w:w="2880" w:type="dxa"/>
          </w:tcPr>
          <w:p w14:paraId="27ED62AB" w14:textId="77777777" w:rsidR="001044E3" w:rsidRDefault="00000000">
            <w:r>
              <w:t>Practitioner-derived, RAG-system case studies</w:t>
            </w:r>
          </w:p>
        </w:tc>
      </w:tr>
      <w:tr w:rsidR="001044E3" w14:paraId="182D6B2A" w14:textId="77777777">
        <w:tc>
          <w:tcPr>
            <w:tcW w:w="2880" w:type="dxa"/>
          </w:tcPr>
          <w:p w14:paraId="64C12E5A" w14:textId="77777777" w:rsidR="001044E3" w:rsidRDefault="00000000">
            <w:r>
              <w:rPr>
                <w:b/>
              </w:rPr>
              <w:t>Vadlamudi</w:t>
            </w:r>
          </w:p>
        </w:tc>
        <w:tc>
          <w:tcPr>
            <w:tcW w:w="2880" w:type="dxa"/>
          </w:tcPr>
          <w:p w14:paraId="621C1393" w14:textId="77777777" w:rsidR="001044E3" w:rsidRDefault="00000000">
            <w:r>
              <w:t>Four-axis taxonomy: reasoning/planning, tool use/action, memory/context, multi-agent orchestration</w:t>
            </w:r>
          </w:p>
        </w:tc>
        <w:tc>
          <w:tcPr>
            <w:tcW w:w="2880" w:type="dxa"/>
          </w:tcPr>
          <w:p w14:paraId="6A27E948" w14:textId="77777777" w:rsidR="001044E3" w:rsidRDefault="00000000">
            <w:r>
              <w:t>Used only as a structural cross-check — it lines up with TRACE's own module split (docs/modules.md); contributed no new categories</w:t>
            </w:r>
          </w:p>
        </w:tc>
      </w:tr>
    </w:tbl>
    <w:p w14:paraId="2174F557" w14:textId="77777777" w:rsidR="001044E3" w:rsidRDefault="001044E3"/>
    <w:p w14:paraId="1EF4BE3C" w14:textId="77777777" w:rsidR="001044E3" w:rsidRDefault="00000000">
      <w:pPr>
        <w:pStyle w:val="Heading2"/>
      </w:pPr>
      <w:r>
        <w:t>What each source contributed</w:t>
      </w:r>
    </w:p>
    <w:p w14:paraId="2E32BD0B" w14:textId="77777777" w:rsidR="001044E3" w:rsidRDefault="00000000">
      <w:r>
        <w:rPr>
          <w:b/>
        </w:rPr>
        <w:t>MAST.</w:t>
      </w:r>
      <w:r>
        <w:t xml:space="preserve"> Specification and design issues were the largest single bucket in their corpus at 41.8% of all failures — bigger than inter-agent and verification issues combined. That finding is the basis for adding clarification_failure: the existing planning_error category covered "the plan was wrong" but had no category for "the right move was to ask, and the agent guessed instead." MAST's </w:t>
      </w:r>
      <w:r>
        <w:rPr>
          <w:b/>
        </w:rPr>
        <w:t>Premature Task Ending</w:t>
      </w:r>
      <w:r>
        <w:t xml:space="preserve"> (6.2% of failures) and its "missing termination conditions" finding are the basis for premature_termination and unproductive_loop respectively.</w:t>
      </w:r>
    </w:p>
    <w:p w14:paraId="6B8B2024" w14:textId="77777777" w:rsidR="001044E3" w:rsidRDefault="00000000">
      <w:r>
        <w:rPr>
          <w:b/>
        </w:rPr>
        <w:t>AgentErrorTaxonomy.</w:t>
      </w:r>
      <w:r>
        <w:t xml:space="preserve"> Its action module names </w:t>
      </w:r>
      <w:r>
        <w:rPr>
          <w:b/>
        </w:rPr>
        <w:t>Planning–Action Disconnect</w:t>
      </w:r>
      <w:r>
        <w:t xml:space="preserve"> — the action taken doesn't match the stated plan's intent — and its planning module names </w:t>
      </w:r>
      <w:r>
        <w:rPr>
          <w:b/>
        </w:rPr>
        <w:t>Inefficient Planning</w:t>
      </w:r>
      <w:r>
        <w:t xml:space="preserve"> — overly long, illogical strategies that waste steps without converging. The first is one of two sources behind tool_selection_error; the second corroborates unproductive_loop independently of MAST. Its system-level module (execution faults, token/timeout limits, environment rule violations) and its reflection-module sub-distinctions (progress misassessment vs. outcome misinterpretation vs. causal misattribution) were both reviewed and explicitly </w:t>
      </w:r>
      <w:r>
        <w:rPr>
          <w:b/>
        </w:rPr>
        <w:t>not</w:t>
      </w:r>
      <w:r>
        <w:t xml:space="preserve"> adopted — see "What didn't make it in."</w:t>
      </w:r>
    </w:p>
    <w:p w14:paraId="535CFA6A" w14:textId="77777777" w:rsidR="001044E3" w:rsidRDefault="00000000">
      <w:r>
        <w:rPr>
          <w:b/>
        </w:rPr>
        <w:t>ToolScan.</w:t>
      </w:r>
      <w:r>
        <w:t xml:space="preserve"> Seven tool-use patterns: Tool Hallucination, Argument Hallucination, Invalid Tool Invocation, Partial Tool Execution, Tool Output Hallucination, Invalid Intermediate Reasoning, Re-entrant Error Handling Failures. Tool Hallucination and Invalid Tool Invocation are the other source behind tool_selection_error; Argument Hallucination and Partial Tool Execution corroborate the existing tool_implementation_error category. Tool Output Hallucination was reviewed and not adopted as a separate category — see below.</w:t>
      </w:r>
    </w:p>
    <w:p w14:paraId="30FF9FBB" w14:textId="77777777" w:rsidR="001044E3" w:rsidRDefault="00000000">
      <w:r>
        <w:rPr>
          <w:b/>
        </w:rPr>
        <w:t>Barnett et al.</w:t>
      </w:r>
      <w:r>
        <w:t xml:space="preserve"> Seven RAG failure points: missing content, missed top-ranked documents, not in context, not extracted, wrong format, incorrect specificity, incomplete. "Missed top-ranked documents," in the variant caused by a bad query rather than a bad ranker, corroborates the existing query_formation_error category. Three of the seven points (missing content, not in context, wrong format/incomplete) were reviewed and not adopted — see below.</w:t>
      </w:r>
    </w:p>
    <w:p w14:paraId="5BC9FC63" w14:textId="4F5FFE06" w:rsidR="001044E3" w:rsidRDefault="00000000" w:rsidP="00261331">
      <w:pPr>
        <w:pStyle w:val="Heading2"/>
      </w:pPr>
      <w:r>
        <w:t xml:space="preserve">What </w:t>
      </w:r>
      <w:proofErr w:type="gramStart"/>
      <w:r w:rsidR="00261331">
        <w:t>added</w:t>
      </w:r>
      <w:proofErr w:type="gramEnd"/>
      <w:r>
        <w:t xml:space="preserve"> </w:t>
      </w:r>
      <w:proofErr w:type="gramStart"/>
      <w:r>
        <w:t>in</w:t>
      </w:r>
      <w:proofErr w:type="gramEnd"/>
      <w:r>
        <w:t xml:space="preserve"> the taxonomy</w:t>
      </w:r>
    </w:p>
    <w:tbl>
      <w:tblPr>
        <w:tblStyle w:val="TableGrid"/>
        <w:tblW w:w="0" w:type="auto"/>
        <w:tblLook w:val="04A0" w:firstRow="1" w:lastRow="0" w:firstColumn="1" w:lastColumn="0" w:noHBand="0" w:noVBand="1"/>
      </w:tblPr>
      <w:tblGrid>
        <w:gridCol w:w="4320"/>
        <w:gridCol w:w="4320"/>
      </w:tblGrid>
      <w:tr w:rsidR="001044E3" w14:paraId="5CA6BBC4" w14:textId="77777777">
        <w:tc>
          <w:tcPr>
            <w:tcW w:w="4320" w:type="dxa"/>
          </w:tcPr>
          <w:p w14:paraId="6EE43A61" w14:textId="77777777" w:rsidR="001044E3" w:rsidRDefault="00000000">
            <w:r>
              <w:rPr>
                <w:b/>
              </w:rPr>
              <w:t>Category</w:t>
            </w:r>
          </w:p>
        </w:tc>
        <w:tc>
          <w:tcPr>
            <w:tcW w:w="4320" w:type="dxa"/>
          </w:tcPr>
          <w:p w14:paraId="44A081F7" w14:textId="77777777" w:rsidR="001044E3" w:rsidRDefault="00000000">
            <w:r>
              <w:rPr>
                <w:b/>
              </w:rPr>
              <w:t>Primary evidence</w:t>
            </w:r>
          </w:p>
        </w:tc>
      </w:tr>
      <w:tr w:rsidR="001044E3" w14:paraId="3A4BF3B2" w14:textId="77777777">
        <w:tc>
          <w:tcPr>
            <w:tcW w:w="4320" w:type="dxa"/>
          </w:tcPr>
          <w:p w14:paraId="037E42A5" w14:textId="77777777" w:rsidR="001044E3" w:rsidRDefault="00000000">
            <w:r>
              <w:t>clarification_failure</w:t>
            </w:r>
          </w:p>
        </w:tc>
        <w:tc>
          <w:tcPr>
            <w:tcW w:w="4320" w:type="dxa"/>
          </w:tcPr>
          <w:p w14:paraId="1DCF71C2" w14:textId="77777777" w:rsidR="001044E3" w:rsidRDefault="00000000">
            <w:r>
              <w:t>MAST — specification issues, 41.8% of failures</w:t>
            </w:r>
          </w:p>
        </w:tc>
      </w:tr>
      <w:tr w:rsidR="001044E3" w14:paraId="26D7E2FA" w14:textId="77777777">
        <w:tc>
          <w:tcPr>
            <w:tcW w:w="4320" w:type="dxa"/>
          </w:tcPr>
          <w:p w14:paraId="0ED0D3CD" w14:textId="77777777" w:rsidR="001044E3" w:rsidRDefault="00000000">
            <w:r>
              <w:t>tool_selection_error</w:t>
            </w:r>
          </w:p>
        </w:tc>
        <w:tc>
          <w:tcPr>
            <w:tcW w:w="4320" w:type="dxa"/>
          </w:tcPr>
          <w:p w14:paraId="7C5A14AB" w14:textId="77777777" w:rsidR="001044E3" w:rsidRDefault="00000000">
            <w:r>
              <w:t>ToolScan — Tool Hallucination / Invalid Tool Invocation; AgentErrorTaxonomy — Planning–Action Disconnect</w:t>
            </w:r>
          </w:p>
        </w:tc>
      </w:tr>
      <w:tr w:rsidR="001044E3" w14:paraId="0A174F77" w14:textId="77777777">
        <w:tc>
          <w:tcPr>
            <w:tcW w:w="4320" w:type="dxa"/>
          </w:tcPr>
          <w:p w14:paraId="432B583A" w14:textId="77777777" w:rsidR="001044E3" w:rsidRDefault="00000000">
            <w:r>
              <w:t>premature_termination</w:t>
            </w:r>
          </w:p>
        </w:tc>
        <w:tc>
          <w:tcPr>
            <w:tcW w:w="4320" w:type="dxa"/>
          </w:tcPr>
          <w:p w14:paraId="70E486E1" w14:textId="77777777" w:rsidR="001044E3" w:rsidRDefault="00000000">
            <w:r>
              <w:t>MAST — Premature Task Ending, 6.2% of failures; AgentErrorTaxonomy — Step Limit Exhaustion</w:t>
            </w:r>
          </w:p>
        </w:tc>
      </w:tr>
      <w:tr w:rsidR="001044E3" w14:paraId="32C1EE5E" w14:textId="77777777">
        <w:tc>
          <w:tcPr>
            <w:tcW w:w="4320" w:type="dxa"/>
          </w:tcPr>
          <w:p w14:paraId="3B504719" w14:textId="77777777" w:rsidR="001044E3" w:rsidRDefault="00000000">
            <w:r>
              <w:lastRenderedPageBreak/>
              <w:t>unproductive_loop</w:t>
            </w:r>
          </w:p>
        </w:tc>
        <w:tc>
          <w:tcPr>
            <w:tcW w:w="4320" w:type="dxa"/>
          </w:tcPr>
          <w:p w14:paraId="11C44CC5" w14:textId="77777777" w:rsidR="001044E3" w:rsidRDefault="00000000">
            <w:r>
              <w:t>AgentErrorTaxonomy — Inefficient Planning; MAST — missing-termination-conditions finding</w:t>
            </w:r>
          </w:p>
        </w:tc>
      </w:tr>
    </w:tbl>
    <w:p w14:paraId="54E26CF4" w14:textId="77777777" w:rsidR="001044E3" w:rsidRDefault="001044E3"/>
    <w:p w14:paraId="7C870465" w14:textId="0AFAC404" w:rsidR="001044E3" w:rsidRDefault="00000000" w:rsidP="00261331">
      <w:pPr>
        <w:pStyle w:val="Heading2"/>
      </w:pPr>
      <w:r>
        <w:t>What didn't make it in</w:t>
      </w:r>
    </w:p>
    <w:tbl>
      <w:tblPr>
        <w:tblStyle w:val="TableGrid"/>
        <w:tblW w:w="0" w:type="auto"/>
        <w:tblLook w:val="04A0" w:firstRow="1" w:lastRow="0" w:firstColumn="1" w:lastColumn="0" w:noHBand="0" w:noVBand="1"/>
      </w:tblPr>
      <w:tblGrid>
        <w:gridCol w:w="2880"/>
        <w:gridCol w:w="2880"/>
        <w:gridCol w:w="3057"/>
      </w:tblGrid>
      <w:tr w:rsidR="001044E3" w14:paraId="762D7001" w14:textId="77777777">
        <w:tc>
          <w:tcPr>
            <w:tcW w:w="2880" w:type="dxa"/>
          </w:tcPr>
          <w:p w14:paraId="62C09A90" w14:textId="77777777" w:rsidR="001044E3" w:rsidRDefault="00000000">
            <w:r>
              <w:rPr>
                <w:b/>
              </w:rPr>
              <w:t>Candidate</w:t>
            </w:r>
          </w:p>
        </w:tc>
        <w:tc>
          <w:tcPr>
            <w:tcW w:w="2880" w:type="dxa"/>
          </w:tcPr>
          <w:p w14:paraId="11F67A88" w14:textId="77777777" w:rsidR="001044E3" w:rsidRDefault="00000000">
            <w:r>
              <w:rPr>
                <w:b/>
              </w:rPr>
              <w:t>Source</w:t>
            </w:r>
          </w:p>
        </w:tc>
        <w:tc>
          <w:tcPr>
            <w:tcW w:w="2880" w:type="dxa"/>
          </w:tcPr>
          <w:p w14:paraId="37C75C51" w14:textId="77777777" w:rsidR="001044E3" w:rsidRDefault="00000000">
            <w:r>
              <w:rPr>
                <w:b/>
              </w:rPr>
              <w:t>Why it was rejected</w:t>
            </w:r>
          </w:p>
        </w:tc>
      </w:tr>
      <w:tr w:rsidR="001044E3" w14:paraId="5FCD526C" w14:textId="77777777">
        <w:tc>
          <w:tcPr>
            <w:tcW w:w="2880" w:type="dxa"/>
          </w:tcPr>
          <w:p w14:paraId="482EDBBC" w14:textId="77777777" w:rsidR="001044E3" w:rsidRDefault="00000000">
            <w:r>
              <w:t>Inter-agent misalignment (communication breakdowns, handoff context loss, conflicting outputs)</w:t>
            </w:r>
          </w:p>
        </w:tc>
        <w:tc>
          <w:tcPr>
            <w:tcW w:w="2880" w:type="dxa"/>
          </w:tcPr>
          <w:p w14:paraId="48B0A16D" w14:textId="77777777" w:rsidR="001044E3" w:rsidRDefault="00000000">
            <w:r>
              <w:t>MAST</w:t>
            </w:r>
          </w:p>
        </w:tc>
        <w:tc>
          <w:tcPr>
            <w:tcW w:w="2880" w:type="dxa"/>
          </w:tcPr>
          <w:p w14:paraId="3B2D9C2E" w14:textId="77777777" w:rsidR="001044E3" w:rsidRDefault="00000000">
            <w:r>
              <w:t>TRACE drives one agent against one environment today; there is no second agent to misalign with.</w:t>
            </w:r>
          </w:p>
        </w:tc>
      </w:tr>
      <w:tr w:rsidR="001044E3" w14:paraId="76B821FE" w14:textId="77777777">
        <w:tc>
          <w:tcPr>
            <w:tcW w:w="2880" w:type="dxa"/>
          </w:tcPr>
          <w:p w14:paraId="62DFDE89" w14:textId="77777777" w:rsidR="001044E3" w:rsidRDefault="00000000">
            <w:r>
              <w:t>Missing content</w:t>
            </w:r>
          </w:p>
        </w:tc>
        <w:tc>
          <w:tcPr>
            <w:tcW w:w="2880" w:type="dxa"/>
          </w:tcPr>
          <w:p w14:paraId="41691DCA" w14:textId="77777777" w:rsidR="001044E3" w:rsidRDefault="00000000">
            <w:r>
              <w:t>Barnett et al.</w:t>
            </w:r>
          </w:p>
        </w:tc>
        <w:tc>
          <w:tcPr>
            <w:tcW w:w="2880" w:type="dxa"/>
          </w:tcPr>
          <w:p w14:paraId="78A8970F" w14:textId="77777777" w:rsidR="001044E3" w:rsidRDefault="00000000">
            <w:r>
              <w:t>The answer is genuinely absent from the knowledge base — a corpus-coverage gap, not an agent decision.</w:t>
            </w:r>
          </w:p>
        </w:tc>
      </w:tr>
      <w:tr w:rsidR="001044E3" w14:paraId="6AE06E4A" w14:textId="77777777">
        <w:tc>
          <w:tcPr>
            <w:tcW w:w="2880" w:type="dxa"/>
          </w:tcPr>
          <w:p w14:paraId="10FCFDBE" w14:textId="77777777" w:rsidR="001044E3" w:rsidRDefault="00000000">
            <w:r>
              <w:t>Not in context (consolidation)</w:t>
            </w:r>
          </w:p>
        </w:tc>
        <w:tc>
          <w:tcPr>
            <w:tcW w:w="2880" w:type="dxa"/>
          </w:tcPr>
          <w:p w14:paraId="549F2E39" w14:textId="77777777" w:rsidR="001044E3" w:rsidRDefault="00000000">
            <w:r>
              <w:t>Barnett et al.</w:t>
            </w:r>
          </w:p>
        </w:tc>
        <w:tc>
          <w:tcPr>
            <w:tcW w:w="2880" w:type="dxa"/>
          </w:tcPr>
          <w:p w14:paraId="79BD367E" w14:textId="77777777" w:rsidR="001044E3" w:rsidRDefault="00000000">
            <w:r>
              <w:t>Structurally can't happen in TRACE: retrieval never truncates and always carries document status.</w:t>
            </w:r>
          </w:p>
        </w:tc>
      </w:tr>
      <w:tr w:rsidR="001044E3" w14:paraId="76A68ECF" w14:textId="77777777">
        <w:tc>
          <w:tcPr>
            <w:tcW w:w="2880" w:type="dxa"/>
          </w:tcPr>
          <w:p w14:paraId="3EF40A17" w14:textId="77777777" w:rsidR="001044E3" w:rsidRDefault="00000000">
            <w:r>
              <w:t>Reflection sub-distinctions (progress misassessment / outcome misinterpretation / causal misattribution)</w:t>
            </w:r>
          </w:p>
        </w:tc>
        <w:tc>
          <w:tcPr>
            <w:tcW w:w="2880" w:type="dxa"/>
          </w:tcPr>
          <w:p w14:paraId="3333DBEA" w14:textId="77777777" w:rsidR="001044E3" w:rsidRDefault="00000000">
            <w:r>
              <w:t>AgentErrorTaxonomy</w:t>
            </w:r>
          </w:p>
        </w:tc>
        <w:tc>
          <w:tcPr>
            <w:tcW w:w="2880" w:type="dxa"/>
          </w:tcPr>
          <w:p w14:paraId="67886564" w14:textId="77777777" w:rsidR="001044E3" w:rsidRDefault="00000000">
            <w:r>
              <w:t>TRACE's evidence surface (reasoning text, tool-observation payloads) can't yet distinguish between these. Folded into reasoning_commitment_error.</w:t>
            </w:r>
          </w:p>
        </w:tc>
      </w:tr>
      <w:tr w:rsidR="001044E3" w14:paraId="25A3A550" w14:textId="77777777">
        <w:tc>
          <w:tcPr>
            <w:tcW w:w="2880" w:type="dxa"/>
          </w:tcPr>
          <w:p w14:paraId="6EC18119" w14:textId="77777777" w:rsidR="001044E3" w:rsidRDefault="00000000">
            <w:r>
              <w:t>System-level errors (execution faults, token/timeout limits, environment rule violations)</w:t>
            </w:r>
          </w:p>
        </w:tc>
        <w:tc>
          <w:tcPr>
            <w:tcW w:w="2880" w:type="dxa"/>
          </w:tcPr>
          <w:p w14:paraId="10829D7D" w14:textId="77777777" w:rsidR="001044E3" w:rsidRDefault="00000000">
            <w:r>
              <w:t>AgentErrorTaxonomy</w:t>
            </w:r>
          </w:p>
        </w:tc>
        <w:tc>
          <w:tcPr>
            <w:tcW w:w="2880" w:type="dxa"/>
          </w:tcPr>
          <w:p w14:paraId="7DE06C32" w14:textId="77777777" w:rsidR="001044E3" w:rsidRDefault="00000000">
            <w:r>
              <w:t>Infrastructure failures, not agent decisions — TRACE's environment is deterministic by design (no clocks, no randomness, no network).</w:t>
            </w:r>
          </w:p>
        </w:tc>
      </w:tr>
      <w:tr w:rsidR="001044E3" w14:paraId="45C78128" w14:textId="77777777">
        <w:tc>
          <w:tcPr>
            <w:tcW w:w="2880" w:type="dxa"/>
          </w:tcPr>
          <w:p w14:paraId="1209BE50" w14:textId="77777777" w:rsidR="001044E3" w:rsidRDefault="00000000">
            <w:r>
              <w:t>Tool Output Hallucination as its own category</w:t>
            </w:r>
          </w:p>
        </w:tc>
        <w:tc>
          <w:tcPr>
            <w:tcW w:w="2880" w:type="dxa"/>
          </w:tcPr>
          <w:p w14:paraId="1AD6CB25" w14:textId="77777777" w:rsidR="001044E3" w:rsidRDefault="00000000">
            <w:r>
              <w:t>ToolScan</w:t>
            </w:r>
          </w:p>
        </w:tc>
        <w:tc>
          <w:tcPr>
            <w:tcW w:w="2880" w:type="dxa"/>
          </w:tcPr>
          <w:p w14:paraId="3D3C1A3E" w14:textId="77777777" w:rsidR="001044E3" w:rsidRDefault="00000000">
            <w:r>
              <w:t>Same evidence-surface limit as the reflection sub-distinctions above. Folded into reasoning_commitment_error.</w:t>
            </w:r>
          </w:p>
        </w:tc>
      </w:tr>
      <w:tr w:rsidR="001044E3" w14:paraId="44176633" w14:textId="77777777">
        <w:tc>
          <w:tcPr>
            <w:tcW w:w="2880" w:type="dxa"/>
          </w:tcPr>
          <w:p w14:paraId="11B2C40F" w14:textId="77777777" w:rsidR="001044E3" w:rsidRDefault="00000000">
            <w:r>
              <w:t>Wrong format / incomplete answer</w:t>
            </w:r>
          </w:p>
        </w:tc>
        <w:tc>
          <w:tcPr>
            <w:tcW w:w="2880" w:type="dxa"/>
          </w:tcPr>
          <w:p w14:paraId="121835D7" w14:textId="77777777" w:rsidR="001044E3" w:rsidRDefault="00000000">
            <w:r>
              <w:t>Barnett et al.</w:t>
            </w:r>
          </w:p>
        </w:tc>
        <w:tc>
          <w:tcPr>
            <w:tcW w:w="2880" w:type="dxa"/>
          </w:tcPr>
          <w:p w14:paraId="45D62A09" w14:textId="77777777" w:rsidR="001044E3" w:rsidRDefault="00000000">
            <w:r>
              <w:t>No verifier today checks answer completeness or format, so there is no evidence path that could populate this category. An open gap, not a closed rejection.</w:t>
            </w:r>
          </w:p>
        </w:tc>
      </w:tr>
    </w:tbl>
    <w:p w14:paraId="50DCDB9E" w14:textId="30A1032C" w:rsidR="001044E3" w:rsidRDefault="001044E3"/>
    <w:sectPr w:rsidR="001044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876562">
    <w:abstractNumId w:val="8"/>
  </w:num>
  <w:num w:numId="2" w16cid:durableId="1259873812">
    <w:abstractNumId w:val="6"/>
  </w:num>
  <w:num w:numId="3" w16cid:durableId="1958021757">
    <w:abstractNumId w:val="5"/>
  </w:num>
  <w:num w:numId="4" w16cid:durableId="2141143148">
    <w:abstractNumId w:val="4"/>
  </w:num>
  <w:num w:numId="5" w16cid:durableId="151794432">
    <w:abstractNumId w:val="7"/>
  </w:num>
  <w:num w:numId="6" w16cid:durableId="1282347877">
    <w:abstractNumId w:val="3"/>
  </w:num>
  <w:num w:numId="7" w16cid:durableId="1490708408">
    <w:abstractNumId w:val="2"/>
  </w:num>
  <w:num w:numId="8" w16cid:durableId="45958837">
    <w:abstractNumId w:val="1"/>
  </w:num>
  <w:num w:numId="9" w16cid:durableId="44657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4E3"/>
    <w:rsid w:val="0015074B"/>
    <w:rsid w:val="00261331"/>
    <w:rsid w:val="0029639D"/>
    <w:rsid w:val="00326F90"/>
    <w:rsid w:val="00A857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ED93E"/>
  <w14:defaultImageDpi w14:val="300"/>
  <w15:docId w15:val="{20BB0D82-CCE0-4A9B-9416-056516D1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Darrel Wihandi - EXT</cp:lastModifiedBy>
  <cp:revision>3</cp:revision>
  <dcterms:created xsi:type="dcterms:W3CDTF">2013-12-23T23:15:00Z</dcterms:created>
  <dcterms:modified xsi:type="dcterms:W3CDTF">2026-06-20T09:28:00Z</dcterms:modified>
  <cp:category/>
</cp:coreProperties>
</file>