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V&amp;V Technical Documentation: Scalpel, Single-Use [KXD]</w:t>
      </w:r>
    </w:p>
    <w:p>
      <w:pPr>
        <w:spacing w:after="400"/>
      </w:pPr>
      <w:r>
        <w:t xml:space="preserve">Document Status: COMPLIANT (Full Evidence)</w:t>
      </w:r>
    </w:p>
    <w:p>
      <w:pPr>
        <w:pStyle w:val="Heading1"/>
      </w:pPr>
      <w:r>
        <w:t xml:space="preserve">Software Architecture</w:t>
      </w:r>
    </w:p>
    <w:p>
      <w:r>
        <w:t xml:space="preserve">Not applicable. This device contains zero software and no electrical components.</w:t>
      </w:r>
    </w:p>
    <w:p>
      <w:pPr>
        <w:pStyle w:val="Heading1"/>
      </w:pPr>
      <w:r>
        <w:t xml:space="preserve">Clinical Evaluation</w:t>
      </w:r>
    </w:p>
    <w:p>
      <w:r>
        <w:t xml:space="preserve">Not applicable. Standard established mechanical design. No human trials required.</w:t>
      </w:r>
    </w:p>
    <w:p>
      <w:pPr>
        <w:pStyle w:val="Heading1"/>
      </w:pPr>
      <w:r>
        <w:t xml:space="preserve">Biocompatibility &amp; ISO 10993</w:t>
      </w:r>
    </w:p>
    <w:p>
      <w:r>
        <w:t xml:space="preserve">ISO 10993 cytotoxicity, sensitization, and irritation tests were conducted on the finalized, sterilized device. The results demonstrated zero cell lysis and no allergic reactions in prolonged 30-day exposure models.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2026-04-08T14:56:13.735Z</dcterms:created>
  <dcterms:modified xsi:type="dcterms:W3CDTF">2026-04-08T14:56:13.735Z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