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Software Algorithm Device to Assist Users (AI/ML) [OZO]</w:t>
      </w:r>
    </w:p>
    <w:p>
      <w:pPr>
        <w:spacing w:after="400"/>
      </w:pPr>
      <w:r>
        <w:t xml:space="preserve">Document Status: COMPLIANT (Full Evidence)</w:t>
      </w:r>
    </w:p>
    <w:p>
      <w:pPr>
        <w:pStyle w:val="Heading1"/>
      </w:pPr>
      <w:r>
        <w:t xml:space="preserve">Software Architecture &amp; Cybersecurity</w:t>
      </w:r>
    </w:p>
    <w:p>
      <w:r>
        <w:t xml:space="preserve">The software architecture conforms to IEC 62304. We utilize a secure cloud backend with end-to-end encryption. All SOUP (Software of Unknown Provenance) modules have been aggressively documented and risk mitigated. Threat surface maps have been established in accordance with FDA premarket cybersecurity guidance.</w:t>
      </w:r>
    </w:p>
    <w:p>
      <w:pPr>
        <w:pStyle w:val="Heading1"/>
      </w:pPr>
      <w:r>
        <w:t xml:space="preserve">Clinical Evaluation &amp; Human Factors</w:t>
      </w:r>
    </w:p>
    <w:p>
      <w:r>
        <w:t xml:space="preserve">Clinical trials were conducted with N=450 patients. Primary endpoints for efficacy and safety were successfully met with a p-value &lt; 0.05. Over 15 human factors usability studies demonstrated 99% task completion without critical life-threatening errors.</w:t>
      </w:r>
    </w:p>
    <w:p>
      <w:pPr>
        <w:pStyle w:val="Heading1"/>
      </w:pPr>
      <w:r>
        <w:t xml:space="preserve">Biocompatibility</w:t>
      </w:r>
    </w:p>
    <w:p>
      <w:r>
        <w:t xml:space="preserve">Not applicable. Device never makes direct or indirect contact with the human body or tissue.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2026-04-08T14:56:13.744Z</dcterms:created>
  <dcterms:modified xsi:type="dcterms:W3CDTF">2026-04-08T14:56:13.744Z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