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V&amp;V Technical Documentation: In Vitro Diagnostic (Over-The-Counter Test Kit) [PXD]</w:t>
      </w:r>
    </w:p>
    <w:p>
      <w:pPr>
        <w:spacing w:after="400"/>
      </w:pPr>
      <w:r>
        <w:t xml:space="preserve">Document Status: COMPLIANT (Full Evidence)</w:t>
      </w:r>
    </w:p>
    <w:p>
      <w:pPr>
        <w:pStyle w:val="Heading1"/>
      </w:pPr>
      <w:r>
        <w:t xml:space="preserve">Software Architecture</w:t>
      </w:r>
    </w:p>
    <w:p>
      <w:r>
        <w:t xml:space="preserve">Not applicable. This device contains zero software and no electrical components.</w:t>
      </w:r>
    </w:p>
    <w:p>
      <w:pPr>
        <w:pStyle w:val="Heading1"/>
      </w:pPr>
      <w:r>
        <w:t xml:space="preserve">Clinical Evaluation &amp; Human Factors</w:t>
      </w:r>
    </w:p>
    <w:p>
      <w:r>
        <w:t xml:space="preserve">Clinical trials were conducted with N=450 patients. Primary endpoints for efficacy and safety were successfully met with a p-value &lt; 0.05. Over 15 human factors usability studies demonstrated 99% task completion without critical life-threatening errors.</w:t>
      </w:r>
    </w:p>
    <w:p>
      <w:pPr>
        <w:pStyle w:val="Heading1"/>
      </w:pPr>
      <w:r>
        <w:t xml:space="preserve">Biocompatibility &amp; ISO 10993</w:t>
      </w:r>
    </w:p>
    <w:p>
      <w:r>
        <w:t xml:space="preserve">ISO 10993 cytotoxicity, sensitization, and irritation tests were conducted on the finalized, sterilized device. The results demonstrated zero cell lysis and no allergic reactions in prolonged 30-day exposure models.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2026-04-08T14:56:13.814Z</dcterms:created>
  <dcterms:modified xsi:type="dcterms:W3CDTF">2026-04-08T14:56:13.814Z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