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Nordwind founders</w:t>
      </w:r>
    </w:p>
    <w:p>
      <w:pPr>
        <w:pStyle w:val="Heading2"/>
      </w:pPr>
      <w:r>
        <w:t xml:space="preserve">Lena Hartmann (CEO)</w:t>
      </w:r>
    </w:p>
    <w:p>
      <w:r>
        <w:t xml:space="preserve">Lena Hartmann spent nine years in service operations at Siemens Gamesa, most recently leading the offshore gearbox replacement programme for Northern Europe.</w:t>
      </w:r>
    </w:p>
    <w:p>
      <w:r>
        <w:t xml:space="preserve">She founded Nordwind in 2023 after seeing independent operators lose turbines that OEM monitoring no longer covered once warranties expired.</w:t>
      </w:r>
    </w:p>
    <w:p>
      <w:pPr>
        <w:pStyle w:val="Heading2"/>
      </w:pPr>
      <w:r>
        <w:t xml:space="preserve">Jonas Berg (CTO)</w:t>
      </w:r>
    </w:p>
    <w:p>
      <w:r>
        <w:t xml:space="preserve">Jonas Berg holds a PhD in condition monitoring of rotating machinery from DTU and has published on vibration-based fault detection.</w:t>
      </w:r>
    </w:p>
    <w:p>
      <w:r>
        <w:t xml:space="preserve">He previously built anomaly detection for a Danish utility's substation fleet.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2026-10-01T21:44:13.911Z</dcterms:created>
  <dcterms:modified xsi:type="dcterms:W3CDTF">2026-10-01T21:44:13.912Z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