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6514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Arial" w:hAnsi="Arial" w:cs="Arial"/>
          <w:b/>
          <w:bCs/>
        </w:rPr>
        <w:t>1. Database &amp; Permission Schema</w:t>
      </w:r>
    </w:p>
    <w:p w14:paraId="184E708F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 xml:space="preserve">The foundation of the Data Entry role is </w:t>
      </w:r>
      <w:r w:rsidRPr="00892DD3">
        <w:rPr>
          <w:rFonts w:ascii="Arial" w:hAnsi="Arial" w:cs="Arial"/>
          <w:b/>
          <w:bCs/>
        </w:rPr>
        <w:t>Authorization</w:t>
      </w:r>
      <w:r w:rsidRPr="00892DD3">
        <w:rPr>
          <w:rFonts w:ascii="Arial" w:hAnsi="Arial" w:cs="Arial"/>
        </w:rPr>
        <w:t xml:space="preserve"> and </w:t>
      </w:r>
      <w:r w:rsidRPr="00892DD3">
        <w:rPr>
          <w:rFonts w:ascii="Arial" w:hAnsi="Arial" w:cs="Arial"/>
          <w:b/>
          <w:bCs/>
        </w:rPr>
        <w:t>Ownership</w:t>
      </w:r>
      <w:r w:rsidRPr="00892DD3">
        <w:rPr>
          <w:rFonts w:ascii="Arial" w:hAnsi="Arial" w:cs="Arial"/>
        </w:rPr>
        <w:t>. We must ensure they can only interact with their own pending submissions.</w:t>
      </w:r>
    </w:p>
    <w:p w14:paraId="1440D716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Arial" w:hAnsi="Arial" w:cs="Arial"/>
          <w:b/>
          <w:bCs/>
        </w:rPr>
        <w:t>Role-Based Access Control (RBAC)</w:t>
      </w:r>
    </w:p>
    <w:p w14:paraId="16881A82" w14:textId="77777777" w:rsidR="00892DD3" w:rsidRPr="00892DD3" w:rsidRDefault="00892DD3" w:rsidP="00892DD3">
      <w:pPr>
        <w:numPr>
          <w:ilvl w:val="0"/>
          <w:numId w:val="1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Role Identification</w:t>
      </w:r>
      <w:r w:rsidRPr="00892DD3">
        <w:rPr>
          <w:rFonts w:ascii="Arial" w:hAnsi="Arial" w:cs="Arial"/>
        </w:rPr>
        <w:t>: Users are assigned the data-entry role by default upon creation.</w:t>
      </w:r>
    </w:p>
    <w:p w14:paraId="7E6DAF33" w14:textId="77777777" w:rsidR="00892DD3" w:rsidRPr="00892DD3" w:rsidRDefault="00892DD3" w:rsidP="00892DD3">
      <w:pPr>
        <w:numPr>
          <w:ilvl w:val="0"/>
          <w:numId w:val="1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Ownership Logic</w:t>
      </w:r>
      <w:r w:rsidRPr="00892DD3">
        <w:rPr>
          <w:rFonts w:ascii="Arial" w:hAnsi="Arial" w:cs="Arial"/>
        </w:rPr>
        <w:t>: Every loan document must include a createdBy field referencing the User ID.</w:t>
      </w:r>
    </w:p>
    <w:p w14:paraId="50E7220A" w14:textId="77777777" w:rsidR="00892DD3" w:rsidRPr="00892DD3" w:rsidRDefault="00892DD3" w:rsidP="00892DD3">
      <w:pPr>
        <w:numPr>
          <w:ilvl w:val="0"/>
          <w:numId w:val="1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Status Constraints</w:t>
      </w:r>
      <w:r w:rsidRPr="00892DD3">
        <w:rPr>
          <w:rFonts w:ascii="Arial" w:hAnsi="Arial" w:cs="Arial"/>
        </w:rPr>
        <w:t>: Data Entry users can only submit loans as Pending. Only Admins can transition these to Approved.</w:t>
      </w:r>
    </w:p>
    <w:p w14:paraId="4E11A815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Arial" w:hAnsi="Arial" w:cs="Arial"/>
          <w:b/>
          <w:bCs/>
        </w:rPr>
        <w:t>Backend Permissions Middleware</w:t>
      </w:r>
    </w:p>
    <w:p w14:paraId="166A0E4A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>You need to implement a guard to prevent Data Entry users from accessing sensitive Admin routes like User Management.</w:t>
      </w:r>
    </w:p>
    <w:p w14:paraId="7DB2EC7E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>JavaScript</w:t>
      </w:r>
    </w:p>
    <w:p w14:paraId="5427A624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>// Example: Restricting access in userRoutes.js</w:t>
      </w:r>
    </w:p>
    <w:p w14:paraId="101DA366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>export const adminOnly = (req, res, next) =&gt; {</w:t>
      </w:r>
    </w:p>
    <w:p w14:paraId="5C123E3E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 xml:space="preserve">  if (req.user &amp;&amp; req.user.role === 'admin') {</w:t>
      </w:r>
    </w:p>
    <w:p w14:paraId="42EAC796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 xml:space="preserve">    next();</w:t>
      </w:r>
    </w:p>
    <w:p w14:paraId="43F79105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 xml:space="preserve">  } else {</w:t>
      </w:r>
    </w:p>
    <w:p w14:paraId="0B834A41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 xml:space="preserve">    res.status(403).json({ message: "Access Denied: Admin Rights Required" });</w:t>
      </w:r>
    </w:p>
    <w:p w14:paraId="46C4667F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 xml:space="preserve">  }</w:t>
      </w:r>
    </w:p>
    <w:p w14:paraId="779CE987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>};</w:t>
      </w:r>
    </w:p>
    <w:p w14:paraId="59B7E69D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pict w14:anchorId="7A5078FC">
          <v:rect id="_x0000_i1043" style="width:0;height:1.5pt" o:hralign="center" o:hrstd="t" o:hr="t" fillcolor="#a0a0a0" stroked="f"/>
        </w:pict>
      </w:r>
    </w:p>
    <w:p w14:paraId="7F16F790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Segoe UI Emoji" w:hAnsi="Segoe UI Emoji" w:cs="Segoe UI Emoji"/>
          <w:b/>
          <w:bCs/>
        </w:rPr>
        <w:t>📂</w:t>
      </w:r>
      <w:r w:rsidRPr="00892DD3">
        <w:rPr>
          <w:rFonts w:ascii="Arial" w:hAnsi="Arial" w:cs="Arial"/>
          <w:b/>
          <w:bCs/>
        </w:rPr>
        <w:t xml:space="preserve"> 2. Core Functional Modules</w:t>
      </w:r>
    </w:p>
    <w:p w14:paraId="2F244A0C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>The Data Entry user will have three primary methods for data ingestion.</w:t>
      </w:r>
    </w:p>
    <w:p w14:paraId="1E397638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Arial" w:hAnsi="Arial" w:cs="Arial"/>
          <w:b/>
          <w:bCs/>
        </w:rPr>
        <w:t>A. Manual Loan Entry</w:t>
      </w:r>
    </w:p>
    <w:p w14:paraId="1D78FD3D" w14:textId="77777777" w:rsidR="00892DD3" w:rsidRPr="00892DD3" w:rsidRDefault="00892DD3" w:rsidP="00892DD3">
      <w:pPr>
        <w:numPr>
          <w:ilvl w:val="0"/>
          <w:numId w:val="2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Standard Fields</w:t>
      </w:r>
      <w:r w:rsidRPr="00892DD3">
        <w:rPr>
          <w:rFonts w:ascii="Arial" w:hAnsi="Arial" w:cs="Arial"/>
        </w:rPr>
        <w:t>: Captures NIC, applicant details, and loan amounts.</w:t>
      </w:r>
    </w:p>
    <w:p w14:paraId="4597DE28" w14:textId="77777777" w:rsidR="00892DD3" w:rsidRPr="00892DD3" w:rsidRDefault="00892DD3" w:rsidP="00892DD3">
      <w:pPr>
        <w:numPr>
          <w:ilvl w:val="0"/>
          <w:numId w:val="2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Proof Attachments</w:t>
      </w:r>
      <w:r w:rsidRPr="00892DD3">
        <w:rPr>
          <w:rFonts w:ascii="Arial" w:hAnsi="Arial" w:cs="Arial"/>
        </w:rPr>
        <w:t>: Allows uploading PDFs, images, and Excel documents as evidence.</w:t>
      </w:r>
    </w:p>
    <w:p w14:paraId="6E328BEE" w14:textId="77777777" w:rsidR="00892DD3" w:rsidRPr="00892DD3" w:rsidRDefault="00892DD3" w:rsidP="00892DD3">
      <w:pPr>
        <w:numPr>
          <w:ilvl w:val="0"/>
          <w:numId w:val="2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lastRenderedPageBreak/>
        <w:t>Backend Handling</w:t>
      </w:r>
      <w:r w:rsidRPr="00892DD3">
        <w:rPr>
          <w:rFonts w:ascii="Arial" w:hAnsi="Arial" w:cs="Arial"/>
        </w:rPr>
        <w:t>: Uses multer to process multi-part form data and store file paths in the database.</w:t>
      </w:r>
    </w:p>
    <w:p w14:paraId="242F1CC7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Arial" w:hAnsi="Arial" w:cs="Arial"/>
          <w:b/>
          <w:bCs/>
        </w:rPr>
        <w:t>B. Excel Migration Workflow</w:t>
      </w:r>
    </w:p>
    <w:p w14:paraId="3E6FC6C0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t>This is a three-stage process to ensure data integrity:</w:t>
      </w:r>
    </w:p>
    <w:p w14:paraId="61288006" w14:textId="77777777" w:rsidR="00892DD3" w:rsidRPr="00892DD3" w:rsidRDefault="00892DD3" w:rsidP="00892DD3">
      <w:pPr>
        <w:numPr>
          <w:ilvl w:val="0"/>
          <w:numId w:val="3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Upload</w:t>
      </w:r>
      <w:r w:rsidRPr="00892DD3">
        <w:rPr>
          <w:rFonts w:ascii="Arial" w:hAnsi="Arial" w:cs="Arial"/>
        </w:rPr>
        <w:t>: User uploads a legacy Excel spreadsheet.</w:t>
      </w:r>
    </w:p>
    <w:p w14:paraId="69C462EF" w14:textId="77777777" w:rsidR="00892DD3" w:rsidRPr="00892DD3" w:rsidRDefault="00892DD3" w:rsidP="00892DD3">
      <w:pPr>
        <w:numPr>
          <w:ilvl w:val="0"/>
          <w:numId w:val="3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Parsing &amp; Review</w:t>
      </w:r>
      <w:r w:rsidRPr="00892DD3">
        <w:rPr>
          <w:rFonts w:ascii="Arial" w:hAnsi="Arial" w:cs="Arial"/>
        </w:rPr>
        <w:t>: The backend (using the xlsx library) parses the file into JSON and sends it back to the frontend.</w:t>
      </w:r>
    </w:p>
    <w:p w14:paraId="2E145539" w14:textId="77777777" w:rsidR="00892DD3" w:rsidRPr="00892DD3" w:rsidRDefault="00892DD3" w:rsidP="00892DD3">
      <w:pPr>
        <w:numPr>
          <w:ilvl w:val="0"/>
          <w:numId w:val="3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Correction UI</w:t>
      </w:r>
      <w:r w:rsidRPr="00892DD3">
        <w:rPr>
          <w:rFonts w:ascii="Arial" w:hAnsi="Arial" w:cs="Arial"/>
        </w:rPr>
        <w:t xml:space="preserve">: The React frontend renders this JSON into an </w:t>
      </w:r>
      <w:r w:rsidRPr="00892DD3">
        <w:rPr>
          <w:rFonts w:ascii="Arial" w:hAnsi="Arial" w:cs="Arial"/>
          <w:b/>
          <w:bCs/>
        </w:rPr>
        <w:t>editable table</w:t>
      </w:r>
      <w:r w:rsidRPr="00892DD3">
        <w:rPr>
          <w:rFonts w:ascii="Arial" w:hAnsi="Arial" w:cs="Arial"/>
        </w:rPr>
        <w:t>. The user performs a "double check," corrects typos, and clicks "Submit All" to save the batch.</w:t>
      </w:r>
    </w:p>
    <w:p w14:paraId="5D1642D9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Arial" w:hAnsi="Arial" w:cs="Arial"/>
          <w:b/>
          <w:bCs/>
        </w:rPr>
        <w:t>C. Search &amp; Filter Queue</w:t>
      </w:r>
    </w:p>
    <w:p w14:paraId="3A0F6230" w14:textId="77777777" w:rsidR="00892DD3" w:rsidRPr="00892DD3" w:rsidRDefault="00892DD3" w:rsidP="00892DD3">
      <w:pPr>
        <w:numPr>
          <w:ilvl w:val="0"/>
          <w:numId w:val="4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Personal Queue</w:t>
      </w:r>
      <w:r w:rsidRPr="00892DD3">
        <w:rPr>
          <w:rFonts w:ascii="Arial" w:hAnsi="Arial" w:cs="Arial"/>
        </w:rPr>
        <w:t>: A dashboard displaying only the loans where createdBy matches the logged-in user.</w:t>
      </w:r>
    </w:p>
    <w:p w14:paraId="7B369FBB" w14:textId="77777777" w:rsidR="00892DD3" w:rsidRPr="00892DD3" w:rsidRDefault="00892DD3" w:rsidP="00892DD3">
      <w:pPr>
        <w:numPr>
          <w:ilvl w:val="0"/>
          <w:numId w:val="4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Dynamic Filtering</w:t>
      </w:r>
      <w:r w:rsidRPr="00892DD3">
        <w:rPr>
          <w:rFonts w:ascii="Arial" w:hAnsi="Arial" w:cs="Arial"/>
        </w:rPr>
        <w:t>: Search functionality by NIC or Applicant Name and filtering by Pending status.</w:t>
      </w:r>
    </w:p>
    <w:p w14:paraId="799AB008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pict w14:anchorId="7C3E67BC">
          <v:rect id="_x0000_i1044" style="width:0;height:1.5pt" o:hralign="center" o:hrstd="t" o:hr="t" fillcolor="#a0a0a0" stroked="f"/>
        </w:pict>
      </w:r>
    </w:p>
    <w:p w14:paraId="3E6020B6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Segoe UI Emoji" w:hAnsi="Segoe UI Emoji" w:cs="Segoe UI Emoji"/>
          <w:b/>
          <w:bCs/>
        </w:rPr>
        <w:t>🛠️</w:t>
      </w:r>
      <w:r w:rsidRPr="00892DD3">
        <w:rPr>
          <w:rFonts w:ascii="Arial" w:hAnsi="Arial" w:cs="Arial"/>
          <w:b/>
          <w:bCs/>
        </w:rPr>
        <w:t xml:space="preserve"> 3. Implementation Activities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203"/>
        <w:gridCol w:w="2293"/>
      </w:tblGrid>
      <w:tr w:rsidR="00892DD3" w:rsidRPr="00892DD3" w14:paraId="7BA2A0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3BF10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56D3A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C2E8C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  <w:b/>
                <w:bCs/>
              </w:rPr>
              <w:t>Component/File</w:t>
            </w:r>
          </w:p>
        </w:tc>
      </w:tr>
      <w:tr w:rsidR="00892DD3" w:rsidRPr="00892DD3" w14:paraId="0C95D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5804B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  <w:b/>
                <w:bCs/>
              </w:rPr>
              <w:t>Model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77405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Add createdBy, proofDocuments, and status enum to the Loan schema.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AB530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loanModel.js</w:t>
            </w:r>
          </w:p>
        </w:tc>
      </w:tr>
      <w:tr w:rsidR="00892DD3" w:rsidRPr="00892DD3" w14:paraId="78644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BC022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  <w:b/>
                <w:bCs/>
              </w:rPr>
              <w:t>File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6C8F8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Set up multer to handle file uploads for proofs and Excel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8AC3C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uploadMiddleware.js</w:t>
            </w:r>
          </w:p>
        </w:tc>
      </w:tr>
      <w:tr w:rsidR="00892DD3" w:rsidRPr="00892DD3" w14:paraId="51981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DA617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  <w:b/>
                <w:bCs/>
              </w:rPr>
              <w:t>Parsing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99028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Implement the Excel-to-JSON conversion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C132A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loanController.js</w:t>
            </w:r>
          </w:p>
        </w:tc>
      </w:tr>
      <w:tr w:rsidR="00892DD3" w:rsidRPr="00892DD3" w14:paraId="68657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8537B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  <w:b/>
                <w:bCs/>
              </w:rPr>
              <w:t>UI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773F2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Conditionally hide Admin-only links (e.g., User Management) in the sidebar.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7D1B8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AppLayout.jsx</w:t>
            </w:r>
          </w:p>
        </w:tc>
      </w:tr>
      <w:tr w:rsidR="00892DD3" w:rsidRPr="00892DD3" w14:paraId="36C01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B952F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  <w:b/>
                <w:bCs/>
              </w:rPr>
              <w:t>Form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6E7DD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Build the multi-step Excel Migration component with an editable grid.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A0789" w14:textId="77777777" w:rsidR="00892DD3" w:rsidRPr="00892DD3" w:rsidRDefault="00892DD3" w:rsidP="00892DD3">
            <w:pPr>
              <w:rPr>
                <w:rFonts w:ascii="Arial" w:hAnsi="Arial" w:cs="Arial"/>
              </w:rPr>
            </w:pPr>
            <w:r w:rsidRPr="00892DD3">
              <w:rPr>
                <w:rFonts w:ascii="Arial" w:hAnsi="Arial" w:cs="Arial"/>
              </w:rPr>
              <w:t>ExcelMigration.jsx</w:t>
            </w:r>
          </w:p>
        </w:tc>
      </w:tr>
    </w:tbl>
    <w:p w14:paraId="020387DD" w14:textId="77777777" w:rsidR="00892DD3" w:rsidRPr="00892DD3" w:rsidRDefault="00892DD3" w:rsidP="00892DD3">
      <w:pPr>
        <w:rPr>
          <w:rFonts w:ascii="Arial" w:hAnsi="Arial" w:cs="Arial"/>
        </w:rPr>
      </w:pPr>
      <w:r w:rsidRPr="00892DD3">
        <w:rPr>
          <w:rFonts w:ascii="Arial" w:hAnsi="Arial" w:cs="Arial"/>
        </w:rPr>
        <w:pict w14:anchorId="011E91CF">
          <v:rect id="_x0000_i1045" style="width:0;height:1.5pt" o:hralign="center" o:hrstd="t" o:hr="t" fillcolor="#a0a0a0" stroked="f"/>
        </w:pict>
      </w:r>
    </w:p>
    <w:p w14:paraId="5C7FEDC5" w14:textId="77777777" w:rsidR="00892DD3" w:rsidRPr="00892DD3" w:rsidRDefault="00892DD3" w:rsidP="00892DD3">
      <w:pPr>
        <w:rPr>
          <w:rFonts w:ascii="Arial" w:hAnsi="Arial" w:cs="Arial"/>
          <w:b/>
          <w:bCs/>
        </w:rPr>
      </w:pPr>
      <w:r w:rsidRPr="00892DD3">
        <w:rPr>
          <w:rFonts w:ascii="Segoe UI Emoji" w:hAnsi="Segoe UI Emoji" w:cs="Segoe UI Emoji"/>
          <w:b/>
          <w:bCs/>
        </w:rPr>
        <w:t>🚀</w:t>
      </w:r>
      <w:r w:rsidRPr="00892DD3">
        <w:rPr>
          <w:rFonts w:ascii="Arial" w:hAnsi="Arial" w:cs="Arial"/>
          <w:b/>
          <w:bCs/>
        </w:rPr>
        <w:t xml:space="preserve"> Final Dev Summary</w:t>
      </w:r>
    </w:p>
    <w:p w14:paraId="32D17928" w14:textId="77777777" w:rsidR="00892DD3" w:rsidRPr="00892DD3" w:rsidRDefault="00892DD3" w:rsidP="00892DD3">
      <w:pPr>
        <w:numPr>
          <w:ilvl w:val="0"/>
          <w:numId w:val="5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lastRenderedPageBreak/>
        <w:t>Language Preference</w:t>
      </w:r>
      <w:r w:rsidRPr="00892DD3">
        <w:rPr>
          <w:rFonts w:ascii="Arial" w:hAnsi="Arial" w:cs="Arial"/>
        </w:rPr>
        <w:t>: Technical documentation remains in English, while instructional guidance is provided in a mix of Tamil and English.</w:t>
      </w:r>
    </w:p>
    <w:p w14:paraId="2921D52A" w14:textId="77777777" w:rsidR="00892DD3" w:rsidRPr="00892DD3" w:rsidRDefault="00892DD3" w:rsidP="00892DD3">
      <w:pPr>
        <w:numPr>
          <w:ilvl w:val="0"/>
          <w:numId w:val="5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Security</w:t>
      </w:r>
      <w:r w:rsidRPr="00892DD3">
        <w:rPr>
          <w:rFonts w:ascii="Arial" w:hAnsi="Arial" w:cs="Arial"/>
        </w:rPr>
        <w:t>: Use the protect middleware for all authenticated routes and adminOnly to gate management features.</w:t>
      </w:r>
    </w:p>
    <w:p w14:paraId="11FB79BD" w14:textId="77777777" w:rsidR="00892DD3" w:rsidRPr="00892DD3" w:rsidRDefault="00892DD3" w:rsidP="00892DD3">
      <w:pPr>
        <w:numPr>
          <w:ilvl w:val="0"/>
          <w:numId w:val="5"/>
        </w:numPr>
        <w:rPr>
          <w:rFonts w:ascii="Arial" w:hAnsi="Arial" w:cs="Arial"/>
        </w:rPr>
      </w:pPr>
      <w:r w:rsidRPr="00892DD3">
        <w:rPr>
          <w:rFonts w:ascii="Arial" w:hAnsi="Arial" w:cs="Arial"/>
          <w:b/>
          <w:bCs/>
        </w:rPr>
        <w:t>Data Integrity</w:t>
      </w:r>
      <w:r w:rsidRPr="00892DD3">
        <w:rPr>
          <w:rFonts w:ascii="Arial" w:hAnsi="Arial" w:cs="Arial"/>
        </w:rPr>
        <w:t>: Never save Excel data directly; always return it to the frontend for a human "Double Check" first.</w:t>
      </w:r>
    </w:p>
    <w:p w14:paraId="47FC7788" w14:textId="77777777" w:rsidR="00667981" w:rsidRPr="00892DD3" w:rsidRDefault="00667981">
      <w:pPr>
        <w:rPr>
          <w:rFonts w:ascii="Arial" w:hAnsi="Arial" w:cs="Arial"/>
        </w:rPr>
      </w:pPr>
    </w:p>
    <w:sectPr w:rsidR="00667981" w:rsidRPr="00892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A3C"/>
    <w:multiLevelType w:val="multilevel"/>
    <w:tmpl w:val="6AB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53C40"/>
    <w:multiLevelType w:val="multilevel"/>
    <w:tmpl w:val="68A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E5E43"/>
    <w:multiLevelType w:val="multilevel"/>
    <w:tmpl w:val="0F9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544CC"/>
    <w:multiLevelType w:val="multilevel"/>
    <w:tmpl w:val="1F1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74A34"/>
    <w:multiLevelType w:val="multilevel"/>
    <w:tmpl w:val="FCBE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570204">
    <w:abstractNumId w:val="0"/>
  </w:num>
  <w:num w:numId="2" w16cid:durableId="957446962">
    <w:abstractNumId w:val="2"/>
  </w:num>
  <w:num w:numId="3" w16cid:durableId="1900290157">
    <w:abstractNumId w:val="4"/>
  </w:num>
  <w:num w:numId="4" w16cid:durableId="1368797998">
    <w:abstractNumId w:val="1"/>
  </w:num>
  <w:num w:numId="5" w16cid:durableId="162748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6C"/>
    <w:rsid w:val="000921A3"/>
    <w:rsid w:val="002B4C0C"/>
    <w:rsid w:val="00661740"/>
    <w:rsid w:val="00667981"/>
    <w:rsid w:val="0081166C"/>
    <w:rsid w:val="00891698"/>
    <w:rsid w:val="0089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EEDB7-A18A-4E8C-8C97-1DA52031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698"/>
  </w:style>
  <w:style w:type="paragraph" w:styleId="Heading1">
    <w:name w:val="heading 1"/>
    <w:basedOn w:val="Normal"/>
    <w:next w:val="Normal"/>
    <w:link w:val="Heading1Char"/>
    <w:uiPriority w:val="9"/>
    <w:qFormat/>
    <w:rsid w:val="0089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B1E1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B1E1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98"/>
    <w:pPr>
      <w:keepNext/>
      <w:keepLines/>
      <w:spacing w:before="160" w:after="80"/>
      <w:outlineLvl w:val="2"/>
    </w:pPr>
    <w:rPr>
      <w:rFonts w:eastAsiaTheme="majorEastAsia" w:cstheme="majorBidi"/>
      <w:color w:val="AB1E1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B1E1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98"/>
    <w:pPr>
      <w:keepNext/>
      <w:keepLines/>
      <w:spacing w:before="80" w:after="40"/>
      <w:outlineLvl w:val="4"/>
    </w:pPr>
    <w:rPr>
      <w:rFonts w:eastAsiaTheme="majorEastAsia" w:cstheme="majorBidi"/>
      <w:color w:val="AB1E1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98"/>
    <w:rPr>
      <w:rFonts w:asciiTheme="majorHAnsi" w:eastAsiaTheme="majorEastAsia" w:hAnsiTheme="majorHAnsi" w:cstheme="majorBidi"/>
      <w:color w:val="AB1E1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698"/>
    <w:rPr>
      <w:rFonts w:asciiTheme="majorHAnsi" w:eastAsiaTheme="majorEastAsia" w:hAnsiTheme="majorHAnsi" w:cstheme="majorBidi"/>
      <w:color w:val="AB1E1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98"/>
    <w:rPr>
      <w:rFonts w:eastAsiaTheme="majorEastAsia" w:cstheme="majorBidi"/>
      <w:color w:val="AB1E1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98"/>
    <w:rPr>
      <w:rFonts w:eastAsiaTheme="majorEastAsia" w:cstheme="majorBidi"/>
      <w:i/>
      <w:iCs/>
      <w:color w:val="AB1E1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98"/>
    <w:rPr>
      <w:rFonts w:eastAsiaTheme="majorEastAsia" w:cstheme="majorBidi"/>
      <w:color w:val="AB1E1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98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91698"/>
    <w:pPr>
      <w:spacing w:after="200" w:line="240" w:lineRule="auto"/>
    </w:pPr>
    <w:rPr>
      <w:i/>
      <w:iCs/>
      <w:color w:val="454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9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91698"/>
    <w:rPr>
      <w:b/>
      <w:bCs/>
    </w:rPr>
  </w:style>
  <w:style w:type="character" w:styleId="Emphasis">
    <w:name w:val="Emphasis"/>
    <w:basedOn w:val="DefaultParagraphFont"/>
    <w:uiPriority w:val="20"/>
    <w:qFormat/>
    <w:rsid w:val="00891698"/>
    <w:rPr>
      <w:i/>
      <w:iCs/>
    </w:rPr>
  </w:style>
  <w:style w:type="paragraph" w:styleId="NoSpacing">
    <w:name w:val="No Spacing"/>
    <w:uiPriority w:val="1"/>
    <w:qFormat/>
    <w:rsid w:val="0089169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169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98"/>
    <w:pPr>
      <w:pBdr>
        <w:top w:val="single" w:sz="4" w:space="10" w:color="AB1E19" w:themeColor="accent1" w:themeShade="BF"/>
        <w:bottom w:val="single" w:sz="4" w:space="10" w:color="AB1E19" w:themeColor="accent1" w:themeShade="BF"/>
      </w:pBdr>
      <w:spacing w:before="360" w:after="360"/>
      <w:ind w:left="864" w:right="864"/>
      <w:jc w:val="center"/>
    </w:pPr>
    <w:rPr>
      <w:i/>
      <w:iCs/>
      <w:color w:val="AB1E1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98"/>
    <w:rPr>
      <w:i/>
      <w:iCs/>
      <w:color w:val="AB1E19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89169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91698"/>
    <w:rPr>
      <w:i/>
      <w:iCs/>
      <w:color w:val="AB1E19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891698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891698"/>
    <w:rPr>
      <w:b/>
      <w:bCs/>
      <w:smallCaps/>
      <w:color w:val="AB1E19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9169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1698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Hidhas Mohamed</dc:creator>
  <cp:keywords/>
  <dc:description/>
  <cp:lastModifiedBy>Hidhas Mohamed</cp:lastModifiedBy>
  <cp:revision>2</cp:revision>
  <dcterms:created xsi:type="dcterms:W3CDTF">2026-04-10T09:20:00Z</dcterms:created>
  <dcterms:modified xsi:type="dcterms:W3CDTF">2026-04-10T09:20:00Z</dcterms:modified>
</cp:coreProperties>
</file>