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140" w:line="252" w:lineRule="auto"/>
        <w:jc w:val="right"/>
      </w:pPr>
      <w:r>
        <w:rPr>
          <w:rFonts w:ascii="Arial" w:hAnsi="Arial" w:eastAsia="Arial"/>
          <w:b w:val="0"/>
          <w:i w:val="0"/>
          <w:color w:val="111111"/>
          <w:sz w:val="20"/>
        </w:rPr>
        <w:t>18 July 2026</w:t>
      </w:r>
    </w:p>
    <w:p>
      <w:pPr>
        <w:keepNext/>
        <w:keepLines w:val="0"/>
        <w:spacing w:before="0" w:after="0" w:line="252" w:lineRule="auto"/>
      </w:pPr>
      <w:r>
        <w:rPr>
          <w:rFonts w:ascii="Arial" w:hAnsi="Arial" w:eastAsia="Arial"/>
          <w:b w:val="0"/>
          <w:i w:val="0"/>
          <w:color w:val="111111"/>
          <w:sz w:val="20"/>
        </w:rPr>
        <w:t>Irene</w:t>
      </w:r>
    </w:p>
    <w:p>
      <w:pPr>
        <w:keepNext/>
        <w:keepLines w:val="0"/>
        <w:spacing w:before="0" w:after="0" w:line="252" w:lineRule="auto"/>
      </w:pPr>
      <w:r>
        <w:rPr>
          <w:rFonts w:ascii="Arial" w:hAnsi="Arial" w:eastAsia="Arial"/>
          <w:b w:val="0"/>
          <w:i w:val="0"/>
          <w:color w:val="111111"/>
          <w:sz w:val="20"/>
        </w:rPr>
        <w:t>Practice Director and Clinical Psychologist</w:t>
      </w:r>
    </w:p>
    <w:p>
      <w:pPr>
        <w:keepNext w:val="0"/>
        <w:keepLines w:val="0"/>
        <w:spacing w:before="0" w:after="0" w:line="252" w:lineRule="auto"/>
      </w:pPr>
      <w:r>
        <w:rPr>
          <w:rFonts w:ascii="Arial" w:hAnsi="Arial" w:eastAsia="Arial"/>
          <w:b w:val="0"/>
          <w:i w:val="0"/>
          <w:color w:val="111111"/>
          <w:sz w:val="20"/>
        </w:rPr>
        <w:t>Mood &amp; Mind Centre</w:t>
      </w:r>
    </w:p>
    <w:p>
      <w:pPr>
        <w:keepNext/>
        <w:keepLines w:val="0"/>
        <w:spacing w:before="160" w:after="100" w:line="252" w:lineRule="auto"/>
      </w:pPr>
      <w:r>
        <w:rPr>
          <w:rFonts w:ascii="Arial" w:hAnsi="Arial" w:eastAsia="Arial"/>
          <w:b/>
          <w:i w:val="0"/>
          <w:color w:val="111111"/>
          <w:sz w:val="22"/>
        </w:rPr>
        <w:t>RE: Proposed duties and responsibilities — GENEVIEVE HEALTH™ Psychological Practice Safety Program</w:t>
      </w:r>
    </w:p>
    <w:p>
      <w:pPr>
        <w:keepLines w:val="0"/>
        <w:spacing w:before="0" w:after="90" w:line="252" w:lineRule="auto"/>
      </w:pPr>
      <w:r>
        <w:rPr>
          <w:rFonts w:ascii="Arial" w:hAnsi="Arial" w:eastAsia="Arial"/>
          <w:b w:val="0"/>
          <w:i w:val="0"/>
          <w:color w:val="111111"/>
          <w:sz w:val="20"/>
        </w:rPr>
        <w:t>Dear Irene,</w:t>
      </w:r>
    </w:p>
    <w:p>
      <w:pPr>
        <w:keepLines w:val="0"/>
        <w:spacing w:before="0" w:after="90" w:line="252" w:lineRule="auto"/>
      </w:pPr>
      <w:r>
        <w:rPr>
          <w:rFonts w:ascii="Arial" w:hAnsi="Arial" w:eastAsia="Arial"/>
          <w:b w:val="0"/>
          <w:i w:val="0"/>
          <w:color w:val="111111"/>
          <w:sz w:val="20"/>
        </w:rPr>
        <w:t>I am pleased to provide this formal outline of the duties proposed for your role during review of the GENEVIEVE HEALTH™ psychological-practice safety demonstration and any later pilot agreed with Mood &amp; Mind Centre. It is intended as a clear starting point for your review, refinement and written approval.</w:t>
      </w:r>
    </w:p>
    <w:p>
      <w:pPr>
        <w:keepLines w:val="0"/>
        <w:spacing w:before="0" w:after="90" w:line="252" w:lineRule="auto"/>
      </w:pPr>
      <w:r>
        <w:rPr>
          <w:rFonts w:ascii="Arial" w:hAnsi="Arial" w:eastAsia="Arial"/>
          <w:b w:val="0"/>
          <w:i w:val="0"/>
          <w:color w:val="111111"/>
          <w:sz w:val="20"/>
        </w:rPr>
        <w:t>This outline does not amend your employment arrangements or require you personally to complete every operational action. Routine tasks may be delegated to appropriately authorised staff. Your proposed responsibility is to retain clinical-governance oversight, approve the practice rules and ensure that final clinical decisions remain human-led.</w:t>
      </w:r>
    </w:p>
    <w:p>
      <w:pPr>
        <w:keepNext/>
        <w:spacing w:before="110" w:after="50"/>
      </w:pPr>
      <w:r>
        <w:rPr>
          <w:rFonts w:ascii="Arial" w:hAnsi="Arial" w:eastAsia="Arial"/>
          <w:b/>
          <w:color w:val="C79A18"/>
          <w:sz w:val="22"/>
        </w:rPr>
        <w:t>Proposed duties and responsibilities</w:t>
      </w:r>
    </w:p>
    <w:p>
      <w:pPr>
        <w:keepLines/>
        <w:spacing w:before="0" w:after="84" w:line="250" w:lineRule="auto"/>
        <w:ind w:left="249" w:hanging="249"/>
      </w:pPr>
      <w:r>
        <w:rPr>
          <w:rFonts w:ascii="Arial" w:hAnsi="Arial" w:eastAsia="Arial"/>
          <w:b/>
          <w:color w:val="C79A18"/>
          <w:sz w:val="20"/>
        </w:rPr>
        <w:t xml:space="preserve">1. </w:t>
      </w:r>
      <w:r>
        <w:rPr>
          <w:rFonts w:ascii="Arial" w:hAnsi="Arial" w:eastAsia="Arial"/>
          <w:b/>
          <w:color w:val="111111"/>
          <w:sz w:val="20"/>
        </w:rPr>
        <w:t>Clinical governance and approval</w:t>
      </w:r>
      <w:r>
        <w:rPr>
          <w:rFonts w:ascii="Arial" w:hAnsi="Arial" w:eastAsia="Arial"/>
          <w:color w:val="111111"/>
          <w:sz w:val="20"/>
        </w:rPr>
        <w:t xml:space="preserve"> — Approve the demonstration or pilot scope, terminology, access levels, practice policies, escalation timeframes, communication scripts and closure rules before they are used by the practice.</w:t>
      </w:r>
    </w:p>
    <w:p>
      <w:pPr>
        <w:keepLines/>
        <w:spacing w:before="0" w:after="84" w:line="250" w:lineRule="auto"/>
        <w:ind w:left="249" w:hanging="249"/>
      </w:pPr>
      <w:r>
        <w:rPr>
          <w:rFonts w:ascii="Arial" w:hAnsi="Arial" w:eastAsia="Arial"/>
          <w:b/>
          <w:color w:val="C79A18"/>
          <w:sz w:val="20"/>
        </w:rPr>
        <w:t xml:space="preserve">2. </w:t>
      </w:r>
      <w:r>
        <w:rPr>
          <w:rFonts w:ascii="Arial" w:hAnsi="Arial" w:eastAsia="Arial"/>
          <w:b/>
          <w:color w:val="111111"/>
          <w:sz w:val="20"/>
        </w:rPr>
        <w:t>Daily safety oversight</w:t>
      </w:r>
      <w:r>
        <w:rPr>
          <w:rFonts w:ascii="Arial" w:hAnsi="Arial" w:eastAsia="Arial"/>
          <w:color w:val="111111"/>
          <w:sz w:val="20"/>
        </w:rPr>
        <w:t xml:space="preserve"> — Review the practice dashboard at agreed intervals; confirm that priority actions have an authorised owner and due time; and intervene, reassign or delegate where work is overdue, unowned or outside scope.</w:t>
      </w:r>
    </w:p>
    <w:p>
      <w:pPr>
        <w:keepLines/>
        <w:spacing w:before="0" w:after="84" w:line="250" w:lineRule="auto"/>
        <w:ind w:left="249" w:hanging="249"/>
      </w:pPr>
      <w:r>
        <w:rPr>
          <w:rFonts w:ascii="Arial" w:hAnsi="Arial" w:eastAsia="Arial"/>
          <w:b/>
          <w:color w:val="C79A18"/>
          <w:sz w:val="20"/>
        </w:rPr>
        <w:t xml:space="preserve">3. </w:t>
      </w:r>
      <w:r>
        <w:rPr>
          <w:rFonts w:ascii="Arial" w:hAnsi="Arial" w:eastAsia="Arial"/>
          <w:b/>
          <w:color w:val="111111"/>
          <w:sz w:val="20"/>
        </w:rPr>
        <w:t>Emergency-cover activation</w:t>
      </w:r>
      <w:r>
        <w:rPr>
          <w:rFonts w:ascii="Arial" w:hAnsi="Arial" w:eastAsia="Arial"/>
          <w:color w:val="111111"/>
          <w:sz w:val="20"/>
        </w:rPr>
        <w:t xml:space="preserve"> — Authorise or oversee activation when a clinician has sudden illness, hospital admission, emergency surgery or another unexpected absence, ensuring affected appointments, clinician-designated follow-ups and incomplete handovers are identified promptly.</w:t>
      </w:r>
    </w:p>
    <w:p>
      <w:pPr>
        <w:keepLines/>
        <w:spacing w:before="0" w:after="84" w:line="250" w:lineRule="auto"/>
        <w:ind w:left="249" w:hanging="249"/>
      </w:pPr>
      <w:r>
        <w:rPr>
          <w:rFonts w:ascii="Arial" w:hAnsi="Arial" w:eastAsia="Arial"/>
          <w:b/>
          <w:color w:val="C79A18"/>
          <w:sz w:val="20"/>
        </w:rPr>
        <w:t xml:space="preserve">4. </w:t>
      </w:r>
      <w:r>
        <w:rPr>
          <w:rFonts w:ascii="Arial" w:hAnsi="Arial" w:eastAsia="Arial"/>
          <w:b/>
          <w:color w:val="111111"/>
          <w:sz w:val="20"/>
        </w:rPr>
        <w:t>Handover and backup accountability</w:t>
      </w:r>
      <w:r>
        <w:rPr>
          <w:rFonts w:ascii="Arial" w:hAnsi="Arial" w:eastAsia="Arial"/>
          <w:color w:val="111111"/>
          <w:sz w:val="20"/>
        </w:rPr>
        <w:t xml:space="preserve"> — Maintain an approved first-backup and second-backup structure; require receiving staff to accept, decline or request reassignment; escalate unanswered requests; and ensure a return handover is completed when the absent clinician resumes duties.</w:t>
      </w:r>
    </w:p>
    <w:p>
      <w:pPr>
        <w:keepLines/>
        <w:spacing w:before="0" w:after="84" w:line="250" w:lineRule="auto"/>
        <w:ind w:left="249" w:hanging="249"/>
      </w:pPr>
      <w:r>
        <w:rPr>
          <w:rFonts w:ascii="Arial" w:hAnsi="Arial" w:eastAsia="Arial"/>
          <w:b/>
          <w:color w:val="C79A18"/>
          <w:sz w:val="20"/>
        </w:rPr>
        <w:t xml:space="preserve">5. </w:t>
      </w:r>
      <w:r>
        <w:rPr>
          <w:rFonts w:ascii="Arial" w:hAnsi="Arial" w:eastAsia="Arial"/>
          <w:b/>
          <w:color w:val="111111"/>
          <w:sz w:val="20"/>
        </w:rPr>
        <w:t>Client continuity</w:t>
      </w:r>
      <w:r>
        <w:rPr>
          <w:rFonts w:ascii="Arial" w:hAnsi="Arial" w:eastAsia="Arial"/>
          <w:color w:val="111111"/>
          <w:sz w:val="20"/>
        </w:rPr>
        <w:t xml:space="preserve"> — Oversee human review of missed appointments, failed contact attempts, absent next appointments, referral or waitlist delays and transition concerns; approve who may contact the client; and require the contact outcome and next plan to be recorded.</w:t>
      </w:r>
    </w:p>
    <w:p>
      <w:pPr>
        <w:keepLines/>
        <w:spacing w:before="0" w:after="84" w:line="250" w:lineRule="auto"/>
        <w:ind w:left="249" w:hanging="249"/>
      </w:pPr>
      <w:r>
        <w:rPr>
          <w:rFonts w:ascii="Arial" w:hAnsi="Arial" w:eastAsia="Arial"/>
          <w:b/>
          <w:color w:val="C79A18"/>
          <w:sz w:val="20"/>
        </w:rPr>
        <w:t xml:space="preserve">6. </w:t>
      </w:r>
      <w:r>
        <w:rPr>
          <w:rFonts w:ascii="Arial" w:hAnsi="Arial" w:eastAsia="Arial"/>
          <w:b/>
          <w:color w:val="111111"/>
          <w:sz w:val="20"/>
        </w:rPr>
        <w:t>Immediate safety concerns</w:t>
      </w:r>
      <w:r>
        <w:rPr>
          <w:rFonts w:ascii="Arial" w:hAnsi="Arial" w:eastAsia="Arial"/>
          <w:color w:val="111111"/>
          <w:sz w:val="20"/>
        </w:rPr>
        <w:t xml:space="preserve"> — Ensure concerns are handled through the practice’s established emergency and clinical procedures by an authorised clinician, with a documented decision, action, owner and review time. The program must never replace professional judgement.</w:t>
      </w:r>
    </w:p>
    <w:p>
      <w:pPr>
        <w:keepLines/>
        <w:spacing w:before="0" w:after="84" w:line="250" w:lineRule="auto"/>
        <w:ind w:left="249" w:hanging="249"/>
      </w:pPr>
      <w:r>
        <w:rPr>
          <w:rFonts w:ascii="Arial" w:hAnsi="Arial" w:eastAsia="Arial"/>
          <w:b/>
          <w:color w:val="C79A18"/>
          <w:sz w:val="20"/>
        </w:rPr>
        <w:t xml:space="preserve">7. </w:t>
      </w:r>
      <w:r>
        <w:rPr>
          <w:rFonts w:ascii="Arial" w:hAnsi="Arial" w:eastAsia="Arial"/>
          <w:b/>
          <w:color w:val="111111"/>
          <w:sz w:val="20"/>
        </w:rPr>
        <w:t>Workforce safety and capacity</w:t>
      </w:r>
      <w:r>
        <w:rPr>
          <w:rFonts w:ascii="Arial" w:hAnsi="Arial" w:eastAsia="Arial"/>
          <w:color w:val="111111"/>
          <w:sz w:val="20"/>
        </w:rPr>
        <w:t xml:space="preserve"> — Review workload, breaks, overtime, lone work, critical-incident support and psychosocial hazards; arrange relief, debriefing or escalation where required; and support a safe allocation of work.</w:t>
      </w:r>
    </w:p>
    <w:p>
      <w:pPr>
        <w:sectPr>
          <w:headerReference w:type="default" r:id="rId9"/>
          <w:footerReference w:type="default" r:id="rId10"/>
          <w:pgSz w:w="11906" w:h="16838"/>
          <w:pgMar w:top="1956" w:right="1134" w:bottom="879" w:left="1134" w:header="142" w:footer="159" w:gutter="0"/>
          <w:cols w:space="720"/>
          <w:docGrid w:linePitch="360"/>
        </w:sectP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4"/>
        <w:gridCol w:w="8050"/>
        <w:gridCol w:w="794"/>
      </w:tblGrid>
      <w:tr>
        <w:tc>
          <w:tcPr>
            <w:tcW w:type="dxa" w:w="794"/>
            <w:vAlign w:val="center"/>
            <w:tcMar>
              <w:top w:w="0" w:type="dxa"/>
              <w:start w:w="15" w:type="dxa"/>
              <w:bottom w:w="0" w:type="dxa"/>
              <w:end w:w="15" w:type="dxa"/>
            </w:tcMar>
          </w:tcPr>
          <w:p>
            <w:pPr>
              <w:spacing w:after="0"/>
              <w:jc w:val="left"/>
            </w:pPr>
            <w:r>
              <w:drawing>
                <wp:inline xmlns:a="http://schemas.openxmlformats.org/drawingml/2006/main" xmlns:pic="http://schemas.openxmlformats.org/drawingml/2006/picture">
                  <wp:extent cx="342000" cy="342000"/>
                  <wp:docPr id="1" name="Picture 1"/>
                  <wp:cNvGraphicFramePr>
                    <a:graphicFrameLocks noChangeAspect="1"/>
                  </wp:cNvGraphicFramePr>
                  <a:graphic>
                    <a:graphicData uri="http://schemas.openxmlformats.org/drawingml/2006/picture">
                      <pic:pic>
                        <pic:nvPicPr>
                          <pic:cNvPr id="0" name="icon-512.png"/>
                          <pic:cNvPicPr/>
                        </pic:nvPicPr>
                        <pic:blipFill>
                          <a:blip r:embed="rId12"/>
                          <a:stretch>
                            <a:fillRect/>
                          </a:stretch>
                        </pic:blipFill>
                        <pic:spPr>
                          <a:xfrm>
                            <a:off x="0" y="0"/>
                            <a:ext cx="342000" cy="342000"/>
                          </a:xfrm>
                          <a:prstGeom prst="rect"/>
                        </pic:spPr>
                      </pic:pic>
                    </a:graphicData>
                  </a:graphic>
                </wp:inline>
              </w:drawing>
            </w:r>
          </w:p>
        </w:tc>
        <w:tc>
          <w:tcPr>
            <w:tcW w:type="dxa" w:w="8050"/>
            <w:vAlign w:val="center"/>
            <w:tcMar>
              <w:top w:w="0" w:type="dxa"/>
              <w:start w:w="15" w:type="dxa"/>
              <w:bottom w:w="0" w:type="dxa"/>
              <w:end w:w="15" w:type="dxa"/>
            </w:tcMar>
          </w:tcPr>
          <w:p>
            <w:pPr>
              <w:spacing w:after="0"/>
              <w:jc w:val="center"/>
            </w:pPr>
            <w:r>
              <w:rPr>
                <w:rFonts w:ascii="Arial" w:hAnsi="Arial" w:eastAsia="Arial"/>
                <w:b/>
                <w:color w:val="C79A18"/>
                <w:sz w:val="31"/>
              </w:rPr>
              <w:t>GENEVIEVE App™</w:t>
            </w:r>
            <w:r>
              <w:br/>
            </w:r>
            <w:r>
              <w:rPr>
                <w:rFonts w:ascii="Arial" w:hAnsi="Arial" w:eastAsia="Arial"/>
                <w:b/>
                <w:color w:val="666666"/>
                <w:sz w:val="14"/>
              </w:rPr>
              <w:t>GENEVIEVE HEALTH™  |  PSYCHOLOGICAL PRACTICE SAFETY</w:t>
            </w:r>
          </w:p>
        </w:tc>
        <w:tc>
          <w:tcPr>
            <w:tcW w:type="dxa" w:w="794"/>
            <w:vAlign w:val="center"/>
            <w:tcMar>
              <w:top w:w="0" w:type="dxa"/>
              <w:start w:w="15" w:type="dxa"/>
              <w:bottom w:w="0" w:type="dxa"/>
              <w:end w:w="15" w:type="dxa"/>
            </w:tcMar>
          </w:tcPr>
          <w:p>
            <w:pPr>
              <w:spacing w:after="0"/>
              <w:jc w:val="right"/>
            </w:pPr>
            <w:r>
              <w:drawing>
                <wp:inline xmlns:a="http://schemas.openxmlformats.org/drawingml/2006/main" xmlns:pic="http://schemas.openxmlformats.org/drawingml/2006/picture">
                  <wp:extent cx="283200" cy="424800"/>
                  <wp:docPr id="2" name="Picture 2"/>
                  <wp:cNvGraphicFramePr>
                    <a:graphicFrameLocks noChangeAspect="1"/>
                  </wp:cNvGraphicFramePr>
                  <a:graphic>
                    <a:graphicData uri="http://schemas.openxmlformats.org/drawingml/2006/picture">
                      <pic:pic>
                        <pic:nvPicPr>
                          <pic:cNvPr id="0" name="genevieve-tree-logo-approved-original.jpeg"/>
                          <pic:cNvPicPr/>
                        </pic:nvPicPr>
                        <pic:blipFill>
                          <a:blip r:embed="rId13"/>
                          <a:stretch>
                            <a:fillRect/>
                          </a:stretch>
                        </pic:blipFill>
                        <pic:spPr>
                          <a:xfrm>
                            <a:off x="0" y="0"/>
                            <a:ext cx="283200" cy="424800"/>
                          </a:xfrm>
                          <a:prstGeom prst="rect"/>
                        </pic:spPr>
                      </pic:pic>
                    </a:graphicData>
                  </a:graphic>
                </wp:inline>
              </w:drawing>
            </w:r>
          </w:p>
        </w:tc>
      </w:tr>
    </w:tbl>
    <w:p>
      <w:pPr>
        <w:spacing w:before="0" w:after="140"/>
        <w:jc w:val="center"/>
        <w:pBdr>
          <w:bottom w:val="single" w:sz="14" w:space="4" w:color="C79A18"/>
        </w:pBdr>
      </w:pPr>
      <w:r>
        <w:rPr>
          <w:rFonts w:ascii="Arial" w:hAnsi="Arial" w:eastAsia="Arial"/>
          <w:b/>
          <w:color w:val="C79A18"/>
          <w:sz w:val="15"/>
        </w:rPr>
        <w:t>CONFIDENTIAL ROLE OUTLINE — CONTINUED</w:t>
      </w:r>
    </w:p>
    <w:p>
      <w:pPr>
        <w:keepNext/>
        <w:spacing w:before="10" w:after="50"/>
      </w:pPr>
      <w:r>
        <w:rPr>
          <w:rFonts w:ascii="Arial" w:hAnsi="Arial" w:eastAsia="Arial"/>
          <w:b/>
          <w:color w:val="C79A18"/>
          <w:sz w:val="22"/>
        </w:rPr>
        <w:t>Proposed duties and responsibilities — continued</w:t>
      </w:r>
    </w:p>
    <w:p>
      <w:pPr>
        <w:keepLines/>
        <w:spacing w:before="0" w:after="84" w:line="250" w:lineRule="auto"/>
        <w:ind w:left="249" w:hanging="249"/>
      </w:pPr>
      <w:r>
        <w:rPr>
          <w:rFonts w:ascii="Arial" w:hAnsi="Arial" w:eastAsia="Arial"/>
          <w:b/>
          <w:color w:val="C79A18"/>
          <w:sz w:val="20"/>
        </w:rPr>
        <w:t xml:space="preserve">8. </w:t>
      </w:r>
      <w:r>
        <w:rPr>
          <w:rFonts w:ascii="Arial" w:hAnsi="Arial" w:eastAsia="Arial"/>
          <w:b/>
          <w:color w:val="111111"/>
          <w:sz w:val="20"/>
        </w:rPr>
        <w:t>Provisional-practitioner supervision and scope</w:t>
      </w:r>
      <w:r>
        <w:rPr>
          <w:rFonts w:ascii="Arial" w:hAnsi="Arial" w:eastAsia="Arial"/>
          <w:color w:val="111111"/>
          <w:sz w:val="20"/>
        </w:rPr>
        <w:t xml:space="preserve"> — Approve supervisor arrangements, scope limitations, availability and required sign-off; and prevent work from being allocated outside a practitioner’s competence, supervision arrangements or authorisation.</w:t>
      </w:r>
    </w:p>
    <w:p>
      <w:pPr>
        <w:keepLines/>
        <w:spacing w:before="0" w:after="84" w:line="250" w:lineRule="auto"/>
        <w:ind w:left="249" w:hanging="249"/>
      </w:pPr>
      <w:r>
        <w:rPr>
          <w:rFonts w:ascii="Arial" w:hAnsi="Arial" w:eastAsia="Arial"/>
          <w:b/>
          <w:color w:val="C79A18"/>
          <w:sz w:val="20"/>
        </w:rPr>
        <w:t xml:space="preserve">9. </w:t>
      </w:r>
      <w:r>
        <w:rPr>
          <w:rFonts w:ascii="Arial" w:hAnsi="Arial" w:eastAsia="Arial"/>
          <w:b/>
          <w:color w:val="111111"/>
          <w:sz w:val="20"/>
        </w:rPr>
        <w:t>Reception and access boundaries</w:t>
      </w:r>
      <w:r>
        <w:rPr>
          <w:rFonts w:ascii="Arial" w:hAnsi="Arial" w:eastAsia="Arial"/>
          <w:color w:val="111111"/>
          <w:sz w:val="20"/>
        </w:rPr>
        <w:t xml:space="preserve"> — Approve role-based, minimum-necessary access and reception scripts; ensure non-clinical staff do not provide clinical advice; and require clinical concerns to be transferred promptly to an authorised clinician.</w:t>
      </w:r>
    </w:p>
    <w:p>
      <w:pPr>
        <w:keepLines/>
        <w:spacing w:before="0" w:after="84" w:line="250" w:lineRule="auto"/>
        <w:ind w:left="249" w:hanging="249"/>
      </w:pPr>
      <w:r>
        <w:rPr>
          <w:rFonts w:ascii="Arial" w:hAnsi="Arial" w:eastAsia="Arial"/>
          <w:b/>
          <w:color w:val="C79A18"/>
          <w:sz w:val="20"/>
        </w:rPr>
        <w:t xml:space="preserve">10. </w:t>
      </w:r>
      <w:r>
        <w:rPr>
          <w:rFonts w:ascii="Arial" w:hAnsi="Arial" w:eastAsia="Arial"/>
          <w:b/>
          <w:color w:val="111111"/>
          <w:sz w:val="20"/>
        </w:rPr>
        <w:t>Incidents, compliance and evidence</w:t>
      </w:r>
      <w:r>
        <w:rPr>
          <w:rFonts w:ascii="Arial" w:hAnsi="Arial" w:eastAsia="Arial"/>
          <w:color w:val="111111"/>
          <w:sz w:val="20"/>
        </w:rPr>
        <w:t xml:space="preserve"> — Review incidents and service interruptions; monitor agreed insurance, WorkCover, licensing and governance reminders; preserve an audit trail; and ensure no matter is closed without accepted ownership, a recorded outcome and authorised review.</w:t>
      </w:r>
    </w:p>
    <w:p>
      <w:pPr>
        <w:keepLines/>
        <w:spacing w:before="0" w:after="84" w:line="250" w:lineRule="auto"/>
        <w:ind w:left="249" w:hanging="249"/>
      </w:pPr>
      <w:r>
        <w:rPr>
          <w:rFonts w:ascii="Arial" w:hAnsi="Arial" w:eastAsia="Arial"/>
          <w:b/>
          <w:color w:val="C79A18"/>
          <w:sz w:val="20"/>
        </w:rPr>
        <w:t xml:space="preserve">11. </w:t>
      </w:r>
      <w:r>
        <w:rPr>
          <w:rFonts w:ascii="Arial" w:hAnsi="Arial" w:eastAsia="Arial"/>
          <w:b/>
          <w:color w:val="111111"/>
          <w:sz w:val="20"/>
        </w:rPr>
        <w:t>Pilot review and refinement</w:t>
      </w:r>
      <w:r>
        <w:rPr>
          <w:rFonts w:ascii="Arial" w:hAnsi="Arial" w:eastAsia="Arial"/>
          <w:color w:val="111111"/>
          <w:sz w:val="20"/>
        </w:rPr>
        <w:t xml:space="preserve"> — Review the demonstration with Tracey Ann Kennedy, identify terminology or workflow changes, approve priorities for adjustment, record decisions and determine whether the program is ready to progress to a further controlled stage.</w:t>
      </w:r>
    </w:p>
    <w:p>
      <w:pPr>
        <w:keepLines/>
        <w:spacing w:before="0" w:after="84" w:line="250" w:lineRule="auto"/>
        <w:ind w:left="249" w:hanging="249"/>
      </w:pPr>
      <w:r>
        <w:rPr>
          <w:rFonts w:ascii="Arial" w:hAnsi="Arial" w:eastAsia="Arial"/>
          <w:b/>
          <w:color w:val="C79A18"/>
          <w:sz w:val="20"/>
        </w:rPr>
        <w:t xml:space="preserve">12. </w:t>
      </w:r>
      <w:r>
        <w:rPr>
          <w:rFonts w:ascii="Arial" w:hAnsi="Arial" w:eastAsia="Arial"/>
          <w:b/>
          <w:color w:val="111111"/>
          <w:sz w:val="20"/>
        </w:rPr>
        <w:t>Privacy, security and readiness for live use</w:t>
      </w:r>
      <w:r>
        <w:rPr>
          <w:rFonts w:ascii="Arial" w:hAnsi="Arial" w:eastAsia="Arial"/>
          <w:color w:val="111111"/>
          <w:sz w:val="20"/>
        </w:rPr>
        <w:t xml:space="preserve"> — Permit fictional demonstration data only until the practice has completed and approved its legal, privacy, clinical-governance, work-health-and-safety and security reviews, together with staff training, incident-response, access-control and backup arrangements.</w:t>
      </w:r>
    </w:p>
    <w:p>
      <w:pPr>
        <w:keepNext/>
        <w:spacing w:before="110" w:after="50"/>
      </w:pPr>
      <w:r>
        <w:rPr>
          <w:rFonts w:ascii="Arial" w:hAnsi="Arial" w:eastAsia="Arial"/>
          <w:b/>
          <w:color w:val="C79A18"/>
          <w:sz w:val="22"/>
        </w:rPr>
        <w:t>Non-negotiable operating safeguards</w:t>
      </w:r>
    </w:p>
    <w:p>
      <w:pPr>
        <w:keepLines/>
        <w:spacing w:before="0" w:after="48" w:line="245" w:lineRule="auto"/>
        <w:ind w:left="295" w:hanging="159"/>
      </w:pPr>
      <w:r>
        <w:rPr>
          <w:rFonts w:ascii="Arial" w:hAnsi="Arial" w:eastAsia="Arial"/>
          <w:b/>
          <w:color w:val="D93A86"/>
          <w:sz w:val="20"/>
        </w:rPr>
        <w:t xml:space="preserve">• </w:t>
      </w:r>
      <w:r>
        <w:rPr>
          <w:rFonts w:ascii="Arial" w:hAnsi="Arial" w:eastAsia="Arial"/>
          <w:color w:val="111111"/>
          <w:sz w:val="19"/>
        </w:rPr>
        <w:t>Fictional demonstration data only; no real client, practitioner or staff information is to be entered during the demo stage.</w:t>
      </w:r>
    </w:p>
    <w:p>
      <w:pPr>
        <w:keepLines/>
        <w:spacing w:before="0" w:after="48" w:line="245" w:lineRule="auto"/>
        <w:ind w:left="295" w:hanging="159"/>
      </w:pPr>
      <w:r>
        <w:rPr>
          <w:rFonts w:ascii="Arial" w:hAnsi="Arial" w:eastAsia="Arial"/>
          <w:b/>
          <w:color w:val="D93A86"/>
          <w:sz w:val="20"/>
        </w:rPr>
        <w:t xml:space="preserve">• </w:t>
      </w:r>
      <w:r>
        <w:rPr>
          <w:rFonts w:ascii="Arial" w:hAnsi="Arial" w:eastAsia="Arial"/>
          <w:color w:val="111111"/>
          <w:sz w:val="19"/>
        </w:rPr>
        <w:t>No diagnosis, automated risk score, automated clinical decision or automatic client contact.</w:t>
      </w:r>
    </w:p>
    <w:p>
      <w:pPr>
        <w:keepLines/>
        <w:spacing w:before="0" w:after="48" w:line="245" w:lineRule="auto"/>
        <w:ind w:left="295" w:hanging="159"/>
      </w:pPr>
      <w:r>
        <w:rPr>
          <w:rFonts w:ascii="Arial" w:hAnsi="Arial" w:eastAsia="Arial"/>
          <w:b/>
          <w:color w:val="D93A86"/>
          <w:sz w:val="20"/>
        </w:rPr>
        <w:t xml:space="preserve">• </w:t>
      </w:r>
      <w:r>
        <w:rPr>
          <w:rFonts w:ascii="Arial" w:hAnsi="Arial" w:eastAsia="Arial"/>
          <w:color w:val="111111"/>
          <w:sz w:val="19"/>
        </w:rPr>
        <w:t>A suitably authorised clinician decides what action is required, who takes it and when the matter may be closed.</w:t>
      </w:r>
    </w:p>
    <w:p>
      <w:pPr>
        <w:keepLines/>
        <w:spacing w:before="0" w:after="48" w:line="245" w:lineRule="auto"/>
        <w:ind w:left="295" w:hanging="159"/>
      </w:pPr>
      <w:r>
        <w:rPr>
          <w:rFonts w:ascii="Arial" w:hAnsi="Arial" w:eastAsia="Arial"/>
          <w:b/>
          <w:color w:val="D93A86"/>
          <w:sz w:val="20"/>
        </w:rPr>
        <w:t xml:space="preserve">• </w:t>
      </w:r>
      <w:r>
        <w:rPr>
          <w:rFonts w:ascii="Arial" w:hAnsi="Arial" w:eastAsia="Arial"/>
          <w:color w:val="111111"/>
          <w:sz w:val="19"/>
        </w:rPr>
        <w:t>No live clinical deployment until the practice has completed its own professional, legal, privacy, security and governance approvals.</w:t>
      </w:r>
    </w:p>
    <w:p>
      <w:pPr>
        <w:keepNext/>
        <w:spacing w:before="110" w:after="50"/>
      </w:pPr>
      <w:r>
        <w:rPr>
          <w:rFonts w:ascii="Arial" w:hAnsi="Arial" w:eastAsia="Arial"/>
          <w:b/>
          <w:color w:val="C79A18"/>
          <w:sz w:val="22"/>
        </w:rPr>
        <w:t>Next step</w:t>
      </w:r>
    </w:p>
    <w:p>
      <w:pPr>
        <w:keepLines w:val="0"/>
        <w:spacing w:before="0" w:after="84" w:line="252" w:lineRule="auto"/>
      </w:pPr>
      <w:r>
        <w:rPr>
          <w:rFonts w:ascii="Arial" w:hAnsi="Arial" w:eastAsia="Arial"/>
          <w:b w:val="0"/>
          <w:i w:val="0"/>
          <w:color w:val="111111"/>
          <w:sz w:val="20"/>
        </w:rPr>
        <w:t>I invite you to mark any additions, deletions or wording changes you consider necessary. Once the role outline is agreed, it can be translated into the dashboard’s permissions, escalation settings, review schedule and pilot checklist for your final approval.</w:t>
      </w:r>
    </w:p>
    <w:p>
      <w:pPr>
        <w:keepLines w:val="0"/>
        <w:spacing w:before="0" w:after="130" w:line="252" w:lineRule="auto"/>
      </w:pPr>
      <w:r>
        <w:rPr>
          <w:rFonts w:ascii="Arial" w:hAnsi="Arial" w:eastAsia="Arial"/>
          <w:b w:val="0"/>
          <w:i w:val="0"/>
          <w:color w:val="111111"/>
          <w:sz w:val="20"/>
        </w:rPr>
        <w:t>Thank you for bringing your clinical and practice-leadership expertise to this work. I look forward to refining the demonstration with you so that it supports safe, practical and accountable care continuity.</w:t>
      </w:r>
    </w:p>
    <w:p>
      <w:pPr>
        <w:keepLines w:val="0"/>
        <w:spacing w:before="0" w:after="104" w:line="252" w:lineRule="auto"/>
      </w:pPr>
      <w:r>
        <w:rPr>
          <w:rFonts w:ascii="Arial" w:hAnsi="Arial" w:eastAsia="Arial"/>
          <w:b w:val="0"/>
          <w:i w:val="0"/>
          <w:color w:val="111111"/>
          <w:sz w:val="20"/>
        </w:rPr>
        <w:t>Yours sincerely,</w:t>
      </w:r>
    </w:p>
    <w:p>
      <w:pPr>
        <w:keepLines w:val="0"/>
        <w:spacing w:before="0" w:after="0" w:line="252" w:lineRule="auto"/>
      </w:pPr>
      <w:r>
        <w:rPr>
          <w:rFonts w:ascii="Arial" w:hAnsi="Arial" w:eastAsia="Arial"/>
          <w:b/>
          <w:i w:val="0"/>
          <w:color w:val="111111"/>
          <w:sz w:val="21"/>
        </w:rPr>
        <w:t>Tracey Ann Kennedy</w:t>
      </w:r>
    </w:p>
    <w:p>
      <w:pPr>
        <w:spacing w:after="0"/>
      </w:pPr>
      <w:r>
        <w:rPr>
          <w:rFonts w:ascii="Arial" w:hAnsi="Arial" w:eastAsia="Arial"/>
          <w:color w:val="111111"/>
          <w:sz w:val="19"/>
        </w:rPr>
        <w:t xml:space="preserve">Founder and Inventor | </w:t>
      </w:r>
      <w:r>
        <w:rPr>
          <w:rFonts w:ascii="Arial" w:hAnsi="Arial" w:eastAsia="Arial"/>
          <w:b/>
          <w:color w:val="C79A18"/>
          <w:sz w:val="19"/>
        </w:rPr>
        <w:t>GENEVIEVE App™</w:t>
      </w:r>
    </w:p>
    <w:p>
      <w:pPr>
        <w:keepLines w:val="0"/>
        <w:spacing w:before="0" w:after="0" w:line="252" w:lineRule="auto"/>
      </w:pPr>
      <w:r>
        <w:rPr>
          <w:rFonts w:ascii="Arial" w:hAnsi="Arial" w:eastAsia="Arial"/>
          <w:b w:val="0"/>
          <w:i w:val="0"/>
          <w:color w:val="111111"/>
          <w:sz w:val="19"/>
        </w:rPr>
        <w:t>ABN 36 530 564 761 | PO Box 475, Labrador QLD 4215</w:t>
      </w:r>
    </w:p>
    <w:p>
      <w:pPr>
        <w:keepLines w:val="0"/>
        <w:spacing w:before="0" w:after="0" w:line="252" w:lineRule="auto"/>
      </w:pPr>
      <w:r>
        <w:rPr>
          <w:rFonts w:ascii="Arial" w:hAnsi="Arial" w:eastAsia="Arial"/>
          <w:b w:val="0"/>
          <w:i w:val="0"/>
          <w:color w:val="111111"/>
          <w:sz w:val="19"/>
        </w:rPr>
        <w:t>Phone: 0483749125 | Email: tracey@genevieveapp.com.au</w:t>
      </w:r>
    </w:p>
    <w:p>
      <w:pPr>
        <w:keepLines w:val="0"/>
        <w:spacing w:before="50" w:after="0" w:line="252" w:lineRule="auto"/>
      </w:pPr>
      <w:r>
        <w:rPr>
          <w:rFonts w:ascii="Arial" w:hAnsi="Arial" w:eastAsia="Arial"/>
          <w:b/>
          <w:i w:val="0"/>
          <w:color w:val="C79A18"/>
          <w:sz w:val="19"/>
        </w:rPr>
        <w:t>Attachments: None.</w:t>
      </w:r>
    </w:p>
    <w:sectPr w:rsidR="00FC693F" w:rsidRPr="0006063C" w:rsidSect="00034616">
      <w:headerReference w:type="default" r:id="rId11"/>
      <w:pgSz w:w="11906" w:h="16838"/>
      <w:pgMar w:top="595" w:right="1134" w:bottom="879" w:left="1134" w:header="113" w:footer="1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844"/>
      <w:gridCol w:w="794"/>
    </w:tblGrid>
    <w:tr>
      <w:tc>
        <w:tcPr>
          <w:tcW w:type="dxa" w:w="8844"/>
          <w:tcMar>
            <w:top w:w="0" w:type="dxa"/>
            <w:start w:w="0" w:type="dxa"/>
            <w:bottom w:w="0" w:type="dxa"/>
            <w:end w:w="0" w:type="dxa"/>
          </w:tcMar>
        </w:tcPr>
        <w:p>
          <w:pPr>
            <w:spacing w:before="0" w:after="0"/>
            <w:pBdr>
              <w:top w:val="single" w:sz="12" w:space="4" w:color="C79A18"/>
            </w:pBdr>
          </w:pPr>
          <w:r>
            <w:rPr>
              <w:rFonts w:ascii="Arial" w:hAnsi="Arial" w:eastAsia="Arial"/>
              <w:color w:val="666666"/>
              <w:sz w:val="14"/>
            </w:rPr>
            <w:t>© 2026 Tracey Ann Kennedy | GENEVIEVE App™ | Confidential draft — no live clinical use</w:t>
          </w:r>
        </w:p>
      </w:tc>
      <w:tc>
        <w:tcPr>
          <w:tcW w:type="dxa" w:w="794"/>
          <w:tcMar>
            <w:top w:w="0" w:type="dxa"/>
            <w:start w:w="0" w:type="dxa"/>
            <w:bottom w:w="0" w:type="dxa"/>
            <w:end w:w="0" w:type="dxa"/>
          </w:tcMar>
        </w:tcPr>
        <w:p>
          <w:pPr>
            <w:spacing w:before="0" w:after="0"/>
            <w:jc w:val="right"/>
            <w:pBdr>
              <w:top w:val="single" w:sz="12" w:space="4" w:color="C79A18"/>
            </w:pBdr>
          </w:pPr>
          <w:r>
            <w:rPr>
              <w:rFonts w:ascii="Arial" w:hAnsi="Arial" w:eastAsia="Arial"/>
              <w:color w:val="666666"/>
              <w:sz w:val="16"/>
            </w:rPr>
            <w:t xml:space="preserve">Page </w:t>
          </w:r>
          <w:r>
            <w:rPr>
              <w:rFonts w:ascii="Arial" w:hAnsi="Arial" w:eastAsia="Arial"/>
              <w:color w:val="666666"/>
              <w:sz w:val="16"/>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92"/>
      <w:gridCol w:w="7654"/>
      <w:gridCol w:w="992"/>
    </w:tblGrid>
    <w:tr>
      <w:tc>
        <w:tcPr>
          <w:tcW w:type="dxa" w:w="992"/>
          <w:vAlign w:val="center"/>
          <w:tcMar>
            <w:top w:w="0" w:type="dxa"/>
            <w:start w:w="20" w:type="dxa"/>
            <w:bottom w:w="0" w:type="dxa"/>
            <w:end w:w="20" w:type="dxa"/>
          </w:tcMar>
        </w:tcPr>
        <w:p>
          <w:pPr>
            <w:spacing w:after="0"/>
            <w:jc w:val="left"/>
          </w:pPr>
          <w:r>
            <w:drawing>
              <wp:inline xmlns:a="http://schemas.openxmlformats.org/drawingml/2006/main" xmlns:pic="http://schemas.openxmlformats.org/drawingml/2006/picture">
                <wp:extent cx="460800" cy="460800"/>
                <wp:docPr id="1" name="Picture 1"/>
                <wp:cNvGraphicFramePr>
                  <a:graphicFrameLocks noChangeAspect="1"/>
                </wp:cNvGraphicFramePr>
                <a:graphic>
                  <a:graphicData uri="http://schemas.openxmlformats.org/drawingml/2006/picture">
                    <pic:pic>
                      <pic:nvPicPr>
                        <pic:cNvPr id="0" name="icon-512.png"/>
                        <pic:cNvPicPr/>
                      </pic:nvPicPr>
                      <pic:blipFill>
                        <a:blip r:embed="rId1"/>
                        <a:stretch>
                          <a:fillRect/>
                        </a:stretch>
                      </pic:blipFill>
                      <pic:spPr>
                        <a:xfrm>
                          <a:off x="0" y="0"/>
                          <a:ext cx="460800" cy="460800"/>
                        </a:xfrm>
                        <a:prstGeom prst="rect"/>
                      </pic:spPr>
                    </pic:pic>
                  </a:graphicData>
                </a:graphic>
              </wp:inline>
            </w:drawing>
          </w:r>
        </w:p>
      </w:tc>
      <w:tc>
        <w:tcPr>
          <w:tcW w:type="dxa" w:w="7654"/>
          <w:vAlign w:val="center"/>
          <w:tcMar>
            <w:top w:w="0" w:type="dxa"/>
            <w:start w:w="20" w:type="dxa"/>
            <w:bottom w:w="0" w:type="dxa"/>
            <w:end w:w="20" w:type="dxa"/>
          </w:tcMar>
        </w:tcPr>
        <w:p>
          <w:pPr>
            <w:spacing w:after="0"/>
            <w:jc w:val="center"/>
          </w:pPr>
          <w:r>
            <w:rPr>
              <w:rFonts w:ascii="Arial" w:hAnsi="Arial" w:eastAsia="Arial"/>
              <w:b/>
              <w:color w:val="C79A18"/>
              <w:sz w:val="37"/>
            </w:rPr>
            <w:t>GENEVIEVE App™</w:t>
          </w:r>
          <w:r>
            <w:br/>
          </w:r>
          <w:r>
            <w:rPr>
              <w:rFonts w:ascii="Arial" w:hAnsi="Arial" w:eastAsia="Arial"/>
              <w:b/>
              <w:color w:val="666666"/>
              <w:sz w:val="16"/>
            </w:rPr>
            <w:t>GENEVIEVE HEALTH™  |  PSYCHOLOGICAL PRACTICE SAFETY</w:t>
          </w:r>
        </w:p>
      </w:tc>
      <w:tc>
        <w:tcPr>
          <w:tcW w:type="dxa" w:w="992"/>
          <w:vAlign w:val="center"/>
          <w:tcMar>
            <w:top w:w="0" w:type="dxa"/>
            <w:start w:w="20" w:type="dxa"/>
            <w:bottom w:w="0" w:type="dxa"/>
            <w:end w:w="20" w:type="dxa"/>
          </w:tcMar>
        </w:tcPr>
        <w:p>
          <w:pPr>
            <w:spacing w:after="0"/>
            <w:jc w:val="right"/>
          </w:pPr>
          <w:r>
            <w:drawing>
              <wp:inline xmlns:a="http://schemas.openxmlformats.org/drawingml/2006/main" xmlns:pic="http://schemas.openxmlformats.org/drawingml/2006/picture">
                <wp:extent cx="372000" cy="558000"/>
                <wp:docPr id="2" name="Picture 2"/>
                <wp:cNvGraphicFramePr>
                  <a:graphicFrameLocks noChangeAspect="1"/>
                </wp:cNvGraphicFramePr>
                <a:graphic>
                  <a:graphicData uri="http://schemas.openxmlformats.org/drawingml/2006/picture">
                    <pic:pic>
                      <pic:nvPicPr>
                        <pic:cNvPr id="0" name="genevieve-tree-logo-approved-original.jpeg"/>
                        <pic:cNvPicPr/>
                      </pic:nvPicPr>
                      <pic:blipFill>
                        <a:blip r:embed="rId2"/>
                        <a:stretch>
                          <a:fillRect/>
                        </a:stretch>
                      </pic:blipFill>
                      <pic:spPr>
                        <a:xfrm>
                          <a:off x="0" y="0"/>
                          <a:ext cx="372000" cy="558000"/>
                        </a:xfrm>
                        <a:prstGeom prst="rect"/>
                      </pic:spPr>
                    </pic:pic>
                  </a:graphicData>
                </a:graphic>
              </wp:inline>
            </w:drawing>
          </w:r>
        </w:p>
      </w:tc>
    </w:tr>
  </w:tbl>
  <w:p>
    <w:pPr>
      <w:spacing w:before="20" w:after="20"/>
      <w:jc w:val="center"/>
      <w:pBdr>
        <w:bottom w:val="single" w:sz="14" w:space="5" w:color="C79A18"/>
      </w:pBdr>
    </w:pPr>
    <w:r>
      <w:rPr>
        <w:rFonts w:ascii="Arial" w:hAnsi="Arial" w:eastAsia="Arial"/>
        <w:b/>
        <w:color w:val="C79A18"/>
        <w:sz w:val="16"/>
      </w:rPr>
      <w:t>CONFIDENTIAL ROLE OUTLINE — FOR REVIEW AND APPROVAL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Arial" w:hAnsi="Arial" w:eastAsia="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duties and responsibilities for Irene — GENEVIEVE HEALTH™</dc:title>
  <dc:subject>Confidential role outline for psychological-practice safety demonstration and proposed pilot</dc:subject>
  <dc:creator>Tracey Ann Kennedy | GENEVIEVE App™</dc:creator>
  <cp:keywords>GENEVIEVE App, GENEVIEVE HEALTH, Irene, psychology practice safety, duties, clinical governance</cp:keywords>
  <dc:description>Prepared in the formal style of the GENEVIEVE App councillor correspondence.</dc:description>
  <cp:lastModifiedBy/>
  <cp:revision>1</cp:revision>
  <dcterms:created xsi:type="dcterms:W3CDTF">2013-12-23T23:15:00Z</dcterms:created>
  <dcterms:modified xsi:type="dcterms:W3CDTF">2013-12-23T23:15:00Z</dcterms:modified>
  <cp:category/>
</cp:coreProperties>
</file>