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07920" w14:textId="7DB5338E" w:rsidR="00873F0A" w:rsidRPr="009E33B1" w:rsidRDefault="009E33B1" w:rsidP="009E33B1">
      <w:pPr>
        <w:jc w:val="center"/>
        <w:rPr>
          <w:rFonts w:ascii="Baskerville Old Face" w:hAnsi="Baskerville Old Face"/>
          <w:bCs/>
          <w:smallCaps/>
          <w:sz w:val="28"/>
          <w:szCs w:val="28"/>
        </w:rPr>
      </w:pPr>
      <w:r w:rsidRPr="009E33B1">
        <w:rPr>
          <w:rFonts w:ascii="Baskerville Old Face" w:hAnsi="Baskerville Old Face"/>
          <w:bCs/>
          <w:smallCaps/>
          <w:sz w:val="28"/>
          <w:szCs w:val="28"/>
        </w:rPr>
        <w:t xml:space="preserve">Introduction to PCA for Process Monitoring </w:t>
      </w:r>
      <w:r w:rsidRPr="009E33B1">
        <w:rPr>
          <w:rFonts w:ascii="Baskerville Old Face" w:hAnsi="Baskerville Old Face"/>
          <w:bCs/>
          <w:smallCaps/>
          <w:sz w:val="28"/>
          <w:szCs w:val="28"/>
        </w:rPr>
        <w:br/>
        <w:t>within the Griffin Toolkit</w:t>
      </w:r>
    </w:p>
    <w:p w14:paraId="1211F1E0" w14:textId="6008F9EE" w:rsidR="00A47B19" w:rsidRDefault="00EF0F0D" w:rsidP="009E33B1">
      <w:pPr>
        <w:jc w:val="center"/>
        <w:rPr>
          <w:rFonts w:ascii="Baskerville Old Face" w:hAnsi="Baskerville Old Face"/>
          <w:bCs/>
          <w:smallCaps/>
          <w:sz w:val="28"/>
          <w:szCs w:val="28"/>
        </w:rPr>
      </w:pPr>
      <w:r w:rsidRPr="009E33B1">
        <w:rPr>
          <w:rFonts w:ascii="Baskerville Old Face" w:hAnsi="Baskerville Old Face"/>
          <w:bCs/>
          <w:smallCaps/>
          <w:sz w:val="28"/>
          <w:szCs w:val="28"/>
        </w:rPr>
        <w:t>Jake Tuttle</w:t>
      </w:r>
    </w:p>
    <w:p w14:paraId="5369140C" w14:textId="0133027B" w:rsidR="009E33B1" w:rsidRDefault="009E33B1" w:rsidP="009E33B1">
      <w:pPr>
        <w:jc w:val="center"/>
        <w:rPr>
          <w:rFonts w:ascii="Baskerville Old Face" w:hAnsi="Baskerville Old Face"/>
          <w:bCs/>
          <w:smallCaps/>
          <w:sz w:val="28"/>
          <w:szCs w:val="28"/>
        </w:rPr>
      </w:pPr>
    </w:p>
    <w:p w14:paraId="683D9DF1" w14:textId="77777777" w:rsidR="009E33B1" w:rsidRDefault="009E33B1" w:rsidP="009E33B1">
      <w:pPr>
        <w:jc w:val="both"/>
        <w:rPr>
          <w:rFonts w:ascii="Baskerville Old Face" w:hAnsi="Baskerville Old Face"/>
          <w:bCs/>
          <w:sz w:val="24"/>
          <w:szCs w:val="24"/>
        </w:rPr>
        <w:sectPr w:rsidR="009E33B1" w:rsidSect="009E33B1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1CF2CE4D" w14:textId="1CA7B0FD" w:rsidR="009E33B1" w:rsidRDefault="009E33B1" w:rsidP="009E33B1">
      <w:pPr>
        <w:jc w:val="both"/>
        <w:rPr>
          <w:rFonts w:ascii="Baskerville Old Face" w:hAnsi="Baskerville Old Face"/>
          <w:bCs/>
          <w:sz w:val="24"/>
          <w:szCs w:val="24"/>
        </w:rPr>
      </w:pPr>
      <w:r w:rsidRPr="009E33B1">
        <w:rPr>
          <w:rFonts w:ascii="Baskerville Old Face" w:hAnsi="Baskerville Old Face"/>
          <w:bCs/>
          <w:sz w:val="24"/>
          <w:szCs w:val="24"/>
        </w:rPr>
        <w:t xml:space="preserve">Principal Component Analysis (PCA) is a powerful statistical method used primarily for </w:t>
      </w:r>
      <w:r w:rsidRPr="009E33B1">
        <w:rPr>
          <w:rFonts w:ascii="Baskerville Old Face" w:hAnsi="Baskerville Old Face"/>
          <w:bCs/>
          <w:sz w:val="24"/>
          <w:szCs w:val="24"/>
        </w:rPr>
        <w:t xml:space="preserve">dimensionality </w:t>
      </w:r>
      <w:r w:rsidRPr="009E33B1">
        <w:rPr>
          <w:rFonts w:ascii="Baskerville Old Face" w:hAnsi="Baskerville Old Face"/>
          <w:bCs/>
          <w:sz w:val="24"/>
          <w:szCs w:val="24"/>
        </w:rPr>
        <w:t xml:space="preserve">reduction of large and highly complex correlated datasets. This method of </w:t>
      </w:r>
      <w:r w:rsidRPr="009E33B1">
        <w:rPr>
          <w:rFonts w:ascii="Baskerville Old Face" w:hAnsi="Baskerville Old Face"/>
          <w:bCs/>
          <w:sz w:val="24"/>
          <w:szCs w:val="24"/>
        </w:rPr>
        <w:t>dimensionality</w:t>
      </w:r>
      <w:r w:rsidRPr="009E33B1">
        <w:rPr>
          <w:rFonts w:ascii="Baskerville Old Face" w:hAnsi="Baskerville Old Face"/>
          <w:bCs/>
          <w:sz w:val="24"/>
          <w:szCs w:val="24"/>
        </w:rPr>
        <w:t xml:space="preserve"> reduction creates new “components” from original factors within the dataset which maximize the variation present </w:t>
      </w:r>
      <w:r>
        <w:rPr>
          <w:rFonts w:ascii="Baskerville Old Face" w:hAnsi="Baskerville Old Face"/>
          <w:bCs/>
          <w:sz w:val="24"/>
          <w:szCs w:val="24"/>
        </w:rPr>
        <w:t>within the entirety of the</w:t>
      </w:r>
      <w:r w:rsidRPr="009E33B1">
        <w:rPr>
          <w:rFonts w:ascii="Baskerville Old Face" w:hAnsi="Baskerville Old Face"/>
          <w:bCs/>
          <w:sz w:val="24"/>
          <w:szCs w:val="24"/>
        </w:rPr>
        <w:t xml:space="preserve"> original dataset. </w:t>
      </w:r>
    </w:p>
    <w:p w14:paraId="4E4DA527" w14:textId="77777777" w:rsidR="009E33B1" w:rsidRDefault="009E33B1" w:rsidP="009E33B1">
      <w:pPr>
        <w:jc w:val="both"/>
        <w:rPr>
          <w:rFonts w:ascii="Baskerville Old Face" w:hAnsi="Baskerville Old Face"/>
          <w:bCs/>
          <w:sz w:val="24"/>
          <w:szCs w:val="24"/>
        </w:rPr>
      </w:pPr>
      <w:r>
        <w:rPr>
          <w:rFonts w:ascii="Baskerville Old Face" w:hAnsi="Baskerville Old Face"/>
          <w:bCs/>
          <w:sz w:val="24"/>
          <w:szCs w:val="24"/>
        </w:rPr>
        <w:t>Below we work through the analysis of a common problem at a coal-fired power plant – a tube leak. The load trend of the unit is displayed below 72 hours before the shutdown to repair the tube leak.</w:t>
      </w:r>
    </w:p>
    <w:p w14:paraId="21743735" w14:textId="13C5B957" w:rsidR="009E33B1" w:rsidRDefault="009E33B1" w:rsidP="009E33B1">
      <w:pPr>
        <w:jc w:val="center"/>
        <w:rPr>
          <w:rFonts w:ascii="Baskerville Old Face" w:hAnsi="Baskerville Old Face"/>
          <w:bCs/>
          <w:sz w:val="24"/>
          <w:szCs w:val="24"/>
        </w:rPr>
      </w:pPr>
      <w:r>
        <w:rPr>
          <w:rFonts w:ascii="Baskerville Old Face" w:hAnsi="Baskerville Old Face"/>
          <w:bCs/>
          <w:noProof/>
          <w:sz w:val="24"/>
          <w:szCs w:val="24"/>
        </w:rPr>
        <w:drawing>
          <wp:inline distT="0" distB="0" distL="0" distR="0" wp14:anchorId="7D480FC5" wp14:editId="3E311071">
            <wp:extent cx="27432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3EEDD" w14:textId="38D7DD75" w:rsidR="009E33B1" w:rsidRDefault="009E33B1" w:rsidP="009E33B1">
      <w:pPr>
        <w:jc w:val="both"/>
        <w:rPr>
          <w:rFonts w:ascii="Baskerville Old Face" w:hAnsi="Baskerville Old Face"/>
          <w:bCs/>
          <w:sz w:val="24"/>
          <w:szCs w:val="24"/>
        </w:rPr>
      </w:pPr>
      <w:r>
        <w:rPr>
          <w:rFonts w:ascii="Baskerville Old Face" w:hAnsi="Baskerville Old Face"/>
          <w:bCs/>
          <w:sz w:val="24"/>
          <w:szCs w:val="24"/>
        </w:rPr>
        <w:t xml:space="preserve">Up until coming offline, the load profile and most operating parameters appear relatively normal. The application of PCA Process Monitoring by the Griffin Toolkit tells a different story. </w:t>
      </w:r>
    </w:p>
    <w:p w14:paraId="4C57AD5E" w14:textId="4C35B1F1" w:rsidR="009E33B1" w:rsidRDefault="009E33B1" w:rsidP="009E33B1">
      <w:pPr>
        <w:jc w:val="both"/>
        <w:rPr>
          <w:rFonts w:ascii="Baskerville Old Face" w:hAnsi="Baskerville Old Face"/>
          <w:bCs/>
          <w:sz w:val="24"/>
          <w:szCs w:val="24"/>
        </w:rPr>
      </w:pPr>
      <w:r>
        <w:rPr>
          <w:rFonts w:ascii="Baskerville Old Face" w:hAnsi="Baskerville Old Face"/>
          <w:bCs/>
          <w:sz w:val="24"/>
          <w:szCs w:val="24"/>
        </w:rPr>
        <w:t xml:space="preserve">By representing hundreds of variables in an easily viewable and understood 2D plot, complex relationships and intercorrelations can be comprehended in seconds. </w:t>
      </w:r>
      <w:r w:rsidR="00A52BE6">
        <w:rPr>
          <w:rFonts w:ascii="Baskerville Old Face" w:hAnsi="Baskerville Old Face"/>
          <w:bCs/>
          <w:sz w:val="24"/>
          <w:szCs w:val="24"/>
        </w:rPr>
        <w:t xml:space="preserve">When PCA is used, changes or variations in the data tend to for subgroups within the full dataset. </w:t>
      </w:r>
    </w:p>
    <w:p w14:paraId="42F84B35" w14:textId="57D28637" w:rsidR="00A52BE6" w:rsidRDefault="00A52BE6" w:rsidP="009E33B1">
      <w:pPr>
        <w:jc w:val="both"/>
        <w:rPr>
          <w:rFonts w:ascii="Baskerville Old Face" w:hAnsi="Baskerville Old Face"/>
          <w:bCs/>
          <w:sz w:val="24"/>
          <w:szCs w:val="24"/>
        </w:rPr>
      </w:pPr>
      <w:r>
        <w:rPr>
          <w:rFonts w:ascii="Baskerville Old Face" w:hAnsi="Baskerville Old Face"/>
          <w:bCs/>
          <w:noProof/>
          <w:sz w:val="24"/>
          <w:szCs w:val="24"/>
        </w:rPr>
        <w:drawing>
          <wp:inline distT="0" distB="0" distL="0" distR="0" wp14:anchorId="2A34EEEB" wp14:editId="0402E76A">
            <wp:extent cx="27432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3DA33" w14:textId="4962A3DD" w:rsidR="00A52BE6" w:rsidRDefault="00A52BE6" w:rsidP="009E33B1">
      <w:pPr>
        <w:jc w:val="both"/>
        <w:rPr>
          <w:rFonts w:ascii="Baskerville Old Face" w:hAnsi="Baskerville Old Face"/>
          <w:bCs/>
          <w:sz w:val="24"/>
          <w:szCs w:val="24"/>
        </w:rPr>
      </w:pPr>
      <w:r>
        <w:rPr>
          <w:rFonts w:ascii="Baskerville Old Face" w:hAnsi="Baskerville Old Face"/>
          <w:bCs/>
          <w:sz w:val="24"/>
          <w:szCs w:val="24"/>
        </w:rPr>
        <w:t>The image above shows the PCA results of monitoring full load operation of the station during the time period presented. There are clearly 3 different subgroups of operation present, as shown by the PCA results.</w:t>
      </w:r>
    </w:p>
    <w:p w14:paraId="2824FAC9" w14:textId="79C3D856" w:rsidR="00A52BE6" w:rsidRDefault="00A52BE6" w:rsidP="009E33B1">
      <w:pPr>
        <w:jc w:val="both"/>
        <w:rPr>
          <w:rFonts w:ascii="Baskerville Old Face" w:hAnsi="Baskerville Old Face"/>
          <w:bCs/>
          <w:sz w:val="24"/>
          <w:szCs w:val="24"/>
        </w:rPr>
      </w:pPr>
      <w:r>
        <w:rPr>
          <w:rFonts w:ascii="Baskerville Old Face" w:hAnsi="Baskerville Old Face"/>
          <w:bCs/>
          <w:sz w:val="24"/>
          <w:szCs w:val="24"/>
        </w:rPr>
        <w:t>The makeup of each principal component (PC) tells us what factors are</w:t>
      </w:r>
      <w:r w:rsidR="00F66B89">
        <w:rPr>
          <w:rFonts w:ascii="Baskerville Old Face" w:hAnsi="Baskerville Old Face"/>
          <w:bCs/>
          <w:sz w:val="24"/>
          <w:szCs w:val="24"/>
        </w:rPr>
        <w:t xml:space="preserve"> contributing</w:t>
      </w:r>
      <w:r>
        <w:rPr>
          <w:rFonts w:ascii="Baskerville Old Face" w:hAnsi="Baskerville Old Face"/>
          <w:bCs/>
          <w:sz w:val="24"/>
          <w:szCs w:val="24"/>
        </w:rPr>
        <w:t xml:space="preserve"> to the x- and y-dimensions shown in the results. A scree plot helps show the percent of the original dataset represented by each PC, as well as </w:t>
      </w:r>
      <w:r w:rsidR="00E9195C">
        <w:rPr>
          <w:rFonts w:ascii="Baskerville Old Face" w:hAnsi="Baskerville Old Face"/>
          <w:bCs/>
          <w:sz w:val="24"/>
          <w:szCs w:val="24"/>
        </w:rPr>
        <w:t>its main contributing factors</w:t>
      </w:r>
      <w:r>
        <w:rPr>
          <w:rFonts w:ascii="Baskerville Old Face" w:hAnsi="Baskerville Old Face"/>
          <w:bCs/>
          <w:sz w:val="24"/>
          <w:szCs w:val="24"/>
        </w:rPr>
        <w:t xml:space="preserve">. </w:t>
      </w:r>
    </w:p>
    <w:p w14:paraId="4997BA6A" w14:textId="77777777" w:rsidR="00A52BE6" w:rsidRDefault="00A52BE6" w:rsidP="009E33B1">
      <w:pPr>
        <w:jc w:val="both"/>
        <w:rPr>
          <w:rFonts w:ascii="Baskerville Old Face" w:hAnsi="Baskerville Old Face"/>
          <w:bCs/>
          <w:sz w:val="24"/>
          <w:szCs w:val="24"/>
        </w:rPr>
      </w:pPr>
      <w:r>
        <w:rPr>
          <w:rFonts w:ascii="Baskerville Old Face" w:hAnsi="Baskerville Old Face"/>
          <w:bCs/>
          <w:noProof/>
          <w:sz w:val="24"/>
          <w:szCs w:val="24"/>
        </w:rPr>
        <w:drawing>
          <wp:inline distT="0" distB="0" distL="0" distR="0" wp14:anchorId="0776FF31" wp14:editId="369B89E4">
            <wp:extent cx="274320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5448D" w14:textId="19284750" w:rsidR="00A52BE6" w:rsidRDefault="00A52BE6" w:rsidP="009E33B1">
      <w:pPr>
        <w:jc w:val="both"/>
        <w:rPr>
          <w:rFonts w:ascii="Baskerville Old Face" w:hAnsi="Baskerville Old Face"/>
          <w:bCs/>
          <w:sz w:val="24"/>
          <w:szCs w:val="24"/>
        </w:rPr>
      </w:pPr>
      <w:r>
        <w:rPr>
          <w:rFonts w:ascii="Baskerville Old Face" w:hAnsi="Baskerville Old Face"/>
          <w:bCs/>
          <w:sz w:val="24"/>
          <w:szCs w:val="24"/>
        </w:rPr>
        <w:t xml:space="preserve">As seen above, nearly 70% of the original dataset is represented by the first three PCs, and over half by just the first two. </w:t>
      </w:r>
    </w:p>
    <w:p w14:paraId="5CDFC3D5" w14:textId="35BC7444" w:rsidR="00A52BE6" w:rsidRDefault="00A52BE6" w:rsidP="009E33B1">
      <w:pPr>
        <w:jc w:val="both"/>
        <w:rPr>
          <w:rFonts w:ascii="Baskerville Old Face" w:hAnsi="Baskerville Old Face"/>
          <w:bCs/>
          <w:sz w:val="24"/>
          <w:szCs w:val="24"/>
        </w:rPr>
      </w:pPr>
      <w:r>
        <w:rPr>
          <w:rFonts w:ascii="Baskerville Old Face" w:hAnsi="Baskerville Old Face"/>
          <w:bCs/>
          <w:noProof/>
          <w:sz w:val="24"/>
          <w:szCs w:val="24"/>
        </w:rPr>
        <w:lastRenderedPageBreak/>
        <w:drawing>
          <wp:inline distT="0" distB="0" distL="0" distR="0" wp14:anchorId="4C7210D7" wp14:editId="655C0226">
            <wp:extent cx="274320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EC1DE" w14:textId="5112D4ED" w:rsidR="00F15229" w:rsidRDefault="00F15229" w:rsidP="00F15229">
      <w:pPr>
        <w:jc w:val="both"/>
        <w:rPr>
          <w:rFonts w:ascii="Baskerville Old Face" w:hAnsi="Baskerville Old Face"/>
          <w:bCs/>
          <w:sz w:val="24"/>
          <w:szCs w:val="24"/>
        </w:rPr>
      </w:pPr>
      <w:r>
        <w:rPr>
          <w:rFonts w:ascii="Baskerville Old Face" w:hAnsi="Baskerville Old Face"/>
          <w:bCs/>
          <w:sz w:val="24"/>
          <w:szCs w:val="24"/>
        </w:rPr>
        <w:t xml:space="preserve">Finally, by observing when Griffin Toolkit PCA identifies the underlying subgroups of performance, </w:t>
      </w:r>
      <w:r>
        <w:rPr>
          <w:rFonts w:ascii="Baskerville Old Face" w:hAnsi="Baskerville Old Face"/>
          <w:bCs/>
          <w:sz w:val="24"/>
          <w:szCs w:val="24"/>
        </w:rPr>
        <w:t>advanced</w:t>
      </w:r>
      <w:r>
        <w:rPr>
          <w:rFonts w:ascii="Baskerville Old Face" w:hAnsi="Baskerville Old Face"/>
          <w:bCs/>
          <w:sz w:val="24"/>
          <w:szCs w:val="24"/>
        </w:rPr>
        <w:t xml:space="preserve"> </w:t>
      </w:r>
      <w:r>
        <w:rPr>
          <w:rFonts w:ascii="Baskerville Old Face" w:hAnsi="Baskerville Old Face"/>
          <w:bCs/>
          <w:sz w:val="24"/>
          <w:szCs w:val="24"/>
        </w:rPr>
        <w:t xml:space="preserve">detection </w:t>
      </w:r>
      <w:r>
        <w:rPr>
          <w:rFonts w:ascii="Baskerville Old Face" w:hAnsi="Baskerville Old Face"/>
          <w:bCs/>
          <w:sz w:val="24"/>
          <w:szCs w:val="24"/>
        </w:rPr>
        <w:t xml:space="preserve">of a trouble </w:t>
      </w:r>
      <w:r>
        <w:rPr>
          <w:rFonts w:ascii="Baskerville Old Face" w:hAnsi="Baskerville Old Face"/>
          <w:bCs/>
          <w:sz w:val="24"/>
          <w:szCs w:val="24"/>
        </w:rPr>
        <w:t xml:space="preserve">event is identified, </w:t>
      </w:r>
      <w:r>
        <w:rPr>
          <w:rFonts w:ascii="Baskerville Old Face" w:hAnsi="Baskerville Old Face"/>
          <w:bCs/>
          <w:sz w:val="24"/>
          <w:szCs w:val="24"/>
        </w:rPr>
        <w:t>earlier</w:t>
      </w:r>
      <w:r>
        <w:rPr>
          <w:rFonts w:ascii="Baskerville Old Face" w:hAnsi="Baskerville Old Face"/>
          <w:bCs/>
          <w:sz w:val="24"/>
          <w:szCs w:val="24"/>
        </w:rPr>
        <w:t xml:space="preserve"> than many traditional methods.</w:t>
      </w:r>
    </w:p>
    <w:p w14:paraId="19C51A50" w14:textId="55BDE74D" w:rsidR="00A52BE6" w:rsidRDefault="00A52BE6" w:rsidP="009E33B1">
      <w:pPr>
        <w:jc w:val="both"/>
        <w:rPr>
          <w:rFonts w:ascii="Baskerville Old Face" w:hAnsi="Baskerville Old Face"/>
          <w:bCs/>
          <w:sz w:val="24"/>
          <w:szCs w:val="24"/>
        </w:rPr>
      </w:pPr>
      <w:r>
        <w:rPr>
          <w:rFonts w:ascii="Baskerville Old Face" w:hAnsi="Baskerville Old Face"/>
          <w:bCs/>
          <w:sz w:val="24"/>
          <w:szCs w:val="24"/>
        </w:rPr>
        <w:t xml:space="preserve">The green group shown on the MW trends represents business-as-usual. After a volatile load movement, the return to full load operation demonstrates </w:t>
      </w:r>
      <w:r w:rsidR="00F15229">
        <w:rPr>
          <w:rFonts w:ascii="Baskerville Old Face" w:hAnsi="Baskerville Old Face"/>
          <w:bCs/>
          <w:sz w:val="24"/>
          <w:szCs w:val="24"/>
        </w:rPr>
        <w:t>atypical</w:t>
      </w:r>
      <w:r>
        <w:rPr>
          <w:rFonts w:ascii="Baskerville Old Face" w:hAnsi="Baskerville Old Face"/>
          <w:bCs/>
          <w:sz w:val="24"/>
          <w:szCs w:val="24"/>
        </w:rPr>
        <w:t xml:space="preserve"> performance, which is identified by PCA at the 60</w:t>
      </w:r>
      <w:r w:rsidR="00F15229">
        <w:rPr>
          <w:rFonts w:ascii="Baskerville Old Face" w:hAnsi="Baskerville Old Face"/>
          <w:bCs/>
          <w:sz w:val="24"/>
          <w:szCs w:val="24"/>
        </w:rPr>
        <w:t>-</w:t>
      </w:r>
      <w:r>
        <w:rPr>
          <w:rFonts w:ascii="Baskerville Old Face" w:hAnsi="Baskerville Old Face"/>
          <w:bCs/>
          <w:sz w:val="24"/>
          <w:szCs w:val="24"/>
        </w:rPr>
        <w:t xml:space="preserve">hour mark, almost immediately upon returning to full load. </w:t>
      </w:r>
      <w:r w:rsidR="00F15229">
        <w:rPr>
          <w:rFonts w:ascii="Baskerville Old Face" w:hAnsi="Baskerville Old Face"/>
          <w:bCs/>
          <w:sz w:val="24"/>
          <w:szCs w:val="24"/>
        </w:rPr>
        <w:t xml:space="preserve">At nearly the 68-hour mark, the event likely occurs, causing the load swing. Upon recovering, PCA identifies the red subgroup, and clearly a problem event has occurred, followed quickly by unit shutdown. </w:t>
      </w:r>
    </w:p>
    <w:p w14:paraId="1F7256B9" w14:textId="77777777" w:rsidR="00F15229" w:rsidRDefault="00F15229" w:rsidP="009E33B1">
      <w:pPr>
        <w:jc w:val="both"/>
        <w:rPr>
          <w:rFonts w:ascii="Baskerville Old Face" w:hAnsi="Baskerville Old Face"/>
          <w:bCs/>
          <w:sz w:val="24"/>
          <w:szCs w:val="24"/>
        </w:rPr>
        <w:sectPr w:rsidR="00F15229" w:rsidSect="009E33B1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p w14:paraId="715F5EFE" w14:textId="5A7F659B" w:rsidR="00F15229" w:rsidRDefault="00F15229" w:rsidP="009E33B1">
      <w:pPr>
        <w:jc w:val="both"/>
        <w:rPr>
          <w:rFonts w:ascii="Baskerville Old Face" w:hAnsi="Baskerville Old Face"/>
          <w:bCs/>
          <w:sz w:val="24"/>
          <w:szCs w:val="24"/>
        </w:rPr>
      </w:pPr>
    </w:p>
    <w:p w14:paraId="6469DF85" w14:textId="3CE8C0AE" w:rsidR="00F15229" w:rsidRPr="009E33B1" w:rsidRDefault="00F15229" w:rsidP="00F15229">
      <w:pPr>
        <w:jc w:val="center"/>
        <w:rPr>
          <w:rFonts w:ascii="Baskerville Old Face" w:hAnsi="Baskerville Old Face"/>
          <w:bCs/>
          <w:sz w:val="24"/>
          <w:szCs w:val="24"/>
        </w:rPr>
      </w:pPr>
      <w:r>
        <w:rPr>
          <w:rFonts w:ascii="Baskerville Old Face" w:hAnsi="Baskerville Old Face"/>
          <w:bCs/>
          <w:noProof/>
          <w:sz w:val="24"/>
          <w:szCs w:val="24"/>
        </w:rPr>
        <w:drawing>
          <wp:inline distT="0" distB="0" distL="0" distR="0" wp14:anchorId="5592565D" wp14:editId="20D0A011">
            <wp:extent cx="594360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5229" w:rsidRPr="009E33B1" w:rsidSect="00F15229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CBC41" w14:textId="77777777" w:rsidR="00827434" w:rsidRDefault="00827434" w:rsidP="00B71133">
      <w:pPr>
        <w:spacing w:after="0" w:line="240" w:lineRule="auto"/>
      </w:pPr>
      <w:r>
        <w:separator/>
      </w:r>
    </w:p>
  </w:endnote>
  <w:endnote w:type="continuationSeparator" w:id="0">
    <w:p w14:paraId="1645339C" w14:textId="77777777" w:rsidR="00827434" w:rsidRDefault="00827434" w:rsidP="00B71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B24EB" w14:textId="77777777" w:rsidR="00827434" w:rsidRDefault="00827434" w:rsidP="00B71133">
      <w:pPr>
        <w:spacing w:after="0" w:line="240" w:lineRule="auto"/>
      </w:pPr>
      <w:r>
        <w:separator/>
      </w:r>
    </w:p>
  </w:footnote>
  <w:footnote w:type="continuationSeparator" w:id="0">
    <w:p w14:paraId="2DA3C91B" w14:textId="77777777" w:rsidR="00827434" w:rsidRDefault="00827434" w:rsidP="00B71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87E08" w14:textId="6B704098" w:rsidR="00B71133" w:rsidRDefault="00B71133">
    <w:pPr>
      <w:pStyle w:val="Header"/>
    </w:pPr>
    <w:r>
      <w:rPr>
        <w:noProof/>
      </w:rPr>
      <w:drawing>
        <wp:inline distT="0" distB="0" distL="0" distR="0" wp14:anchorId="0449ACD3" wp14:editId="4DD7D0C0">
          <wp:extent cx="5943600" cy="5397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ullGriffin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39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C6B082B" w14:textId="77777777" w:rsidR="00B71133" w:rsidRDefault="00B711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B191D"/>
    <w:multiLevelType w:val="multilevel"/>
    <w:tmpl w:val="FE1053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83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A120377"/>
    <w:multiLevelType w:val="multilevel"/>
    <w:tmpl w:val="4A12FD4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92B0015"/>
    <w:multiLevelType w:val="hybridMultilevel"/>
    <w:tmpl w:val="0FC8B8D0"/>
    <w:lvl w:ilvl="0" w:tplc="7040D86A">
      <w:start w:val="77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M0NjQ0NDU1NTEwMDNW0lEKTi0uzszPAykwrAUAowlj2CwAAAA="/>
  </w:docVars>
  <w:rsids>
    <w:rsidRoot w:val="00B71133"/>
    <w:rsid w:val="000F2F42"/>
    <w:rsid w:val="000F4311"/>
    <w:rsid w:val="002A0C6B"/>
    <w:rsid w:val="002E7AC1"/>
    <w:rsid w:val="00355734"/>
    <w:rsid w:val="00427D76"/>
    <w:rsid w:val="004B5C7A"/>
    <w:rsid w:val="005B1063"/>
    <w:rsid w:val="005C5C48"/>
    <w:rsid w:val="00660173"/>
    <w:rsid w:val="00694D26"/>
    <w:rsid w:val="007764CC"/>
    <w:rsid w:val="007B1392"/>
    <w:rsid w:val="00827434"/>
    <w:rsid w:val="00873F0A"/>
    <w:rsid w:val="008D671E"/>
    <w:rsid w:val="009E33B1"/>
    <w:rsid w:val="00A47B19"/>
    <w:rsid w:val="00A52BE6"/>
    <w:rsid w:val="00A759DB"/>
    <w:rsid w:val="00AB7B23"/>
    <w:rsid w:val="00B71133"/>
    <w:rsid w:val="00C67ABD"/>
    <w:rsid w:val="00D114BB"/>
    <w:rsid w:val="00DC31B2"/>
    <w:rsid w:val="00DD06E3"/>
    <w:rsid w:val="00DF2454"/>
    <w:rsid w:val="00E9195C"/>
    <w:rsid w:val="00EB64C0"/>
    <w:rsid w:val="00EF0F0D"/>
    <w:rsid w:val="00F15229"/>
    <w:rsid w:val="00F6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85E02"/>
  <w15:chartTrackingRefBased/>
  <w15:docId w15:val="{8CDD1457-1289-4620-9312-365586C5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67ABD"/>
    <w:pPr>
      <w:keepNext/>
      <w:numPr>
        <w:numId w:val="2"/>
      </w:numPr>
      <w:autoSpaceDE w:val="0"/>
      <w:autoSpaceDN w:val="0"/>
      <w:spacing w:before="240" w:after="8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smallCaps/>
      <w:kern w:val="28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7ABD"/>
    <w:rPr>
      <w:rFonts w:ascii="Times New Roman" w:eastAsia="Times New Roman" w:hAnsi="Times New Roman" w:cs="Times New Roman"/>
      <w:smallCaps/>
      <w:kern w:val="28"/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67ABD"/>
    <w:pPr>
      <w:spacing w:line="240" w:lineRule="auto"/>
      <w:ind w:left="720" w:right="720"/>
      <w:contextualSpacing/>
    </w:pPr>
    <w:rPr>
      <w:rFonts w:ascii="Times New Roman" w:eastAsiaTheme="majorEastAsia" w:hAnsi="Times New Roman" w:cstheme="majorBidi"/>
      <w:smallCaps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ABD"/>
    <w:rPr>
      <w:rFonts w:ascii="Times New Roman" w:eastAsiaTheme="majorEastAsia" w:hAnsi="Times New Roman" w:cstheme="majorBidi"/>
      <w:smallCaps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67ABD"/>
    <w:pPr>
      <w:numPr>
        <w:ilvl w:val="1"/>
      </w:numPr>
      <w:spacing w:after="480" w:line="240" w:lineRule="auto"/>
    </w:pPr>
    <w:rPr>
      <w:rFonts w:ascii="Times New Roman" w:eastAsiaTheme="minorEastAsia" w:hAnsi="Times New Roman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7ABD"/>
    <w:rPr>
      <w:rFonts w:ascii="Times New Roman" w:eastAsiaTheme="minorEastAsia" w:hAnsi="Times New Roman"/>
      <w:spacing w:val="15"/>
      <w:sz w:val="24"/>
    </w:rPr>
  </w:style>
  <w:style w:type="paragraph" w:styleId="Header">
    <w:name w:val="header"/>
    <w:basedOn w:val="Normal"/>
    <w:link w:val="HeaderChar"/>
    <w:uiPriority w:val="99"/>
    <w:unhideWhenUsed/>
    <w:rsid w:val="00B71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133"/>
  </w:style>
  <w:style w:type="paragraph" w:styleId="Footer">
    <w:name w:val="footer"/>
    <w:basedOn w:val="Normal"/>
    <w:link w:val="FooterChar"/>
    <w:uiPriority w:val="99"/>
    <w:unhideWhenUsed/>
    <w:rsid w:val="00B71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133"/>
  </w:style>
  <w:style w:type="table" w:styleId="TableGrid">
    <w:name w:val="Table Grid"/>
    <w:basedOn w:val="TableNormal"/>
    <w:uiPriority w:val="39"/>
    <w:rsid w:val="00B71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5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Tuttle</dc:creator>
  <cp:keywords/>
  <dc:description/>
  <cp:lastModifiedBy>Jacob Tuttle</cp:lastModifiedBy>
  <cp:revision>4</cp:revision>
  <cp:lastPrinted>2018-10-08T09:15:00Z</cp:lastPrinted>
  <dcterms:created xsi:type="dcterms:W3CDTF">2019-10-30T18:09:00Z</dcterms:created>
  <dcterms:modified xsi:type="dcterms:W3CDTF">2019-10-30T18:11:00Z</dcterms:modified>
</cp:coreProperties>
</file>