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drawing>
          <wp:inline xmlns:a="http://schemas.openxmlformats.org/drawingml/2006/main" xmlns:pic="http://schemas.openxmlformats.org/drawingml/2006/picture">
            <wp:extent cx="6115050" cy="2190750"/>
            <wp:docPr id="1" name="Picture 1"/>
            <wp:cNvGraphicFramePr>
              <a:graphicFrameLocks noChangeAspect="1"/>
            </wp:cNvGraphicFramePr>
            <a:graphic>
              <a:graphicData uri="http://schemas.openxmlformats.org/drawingml/2006/picture">
                <pic:pic>
                  <pic:nvPicPr>
                    <pic:cNvPr id="0" name="LetterHead.PNG"/>
                    <pic:cNvPicPr/>
                  </pic:nvPicPr>
                  <pic:blipFill>
                    <a:blip r:embed="rId9"/>
                    <a:stretch>
                      <a:fillRect/>
                    </a:stretch>
                  </pic:blipFill>
                  <pic:spPr>
                    <a:xfrm>
                      <a:off x="0" y="0"/>
                      <a:ext cx="6115050" cy="2190750"/>
                    </a:xfrm>
                    <a:prstGeom prst="rect"/>
                  </pic:spPr>
                </pic:pic>
              </a:graphicData>
            </a:graphic>
          </wp:inline>
        </w:drawing>
      </w:r>
    </w:p>
    <w:p>
      <w:pPr/>
      <w:r>
        <w:rPr>
          <w:rStyle w:val="TitleChar"/>
        </w:rPr>
        <w:t>INTER-OFFICE MEMORANDUM</w:t>
      </w:r>
      <w:r>
        <w:rPr>
          <w:b/>
        </w:rPr>
        <w:br/>
        <w:br/>
        <w:t>DATE:</w:t>
      </w:r>
      <w:r>
        <w:tab/>
        <w:tab/>
        <w:t>02/02/2021</w:t>
      </w:r>
      <w:r>
        <w:rPr>
          <w:b/>
        </w:rPr>
        <w:br/>
        <w:t>TO:</w:t>
      </w:r>
      <w:r>
        <w:tab/>
        <w:tab/>
        <w:t>Theresa</w:t>
      </w:r>
      <w:r>
        <w:rPr>
          <w:b/>
        </w:rPr>
        <w:br/>
        <w:t>FROM:</w:t>
      </w:r>
      <w:r>
        <w:tab/>
        <w:t>Travis</w:t>
      </w:r>
      <w:r>
        <w:rPr>
          <w:b/>
        </w:rPr>
        <w:br/>
        <w:t>SUBJECT:</w:t>
      </w:r>
      <w:r>
        <w:tab/>
        <w:t>51st Street</w:t>
      </w:r>
      <w:r>
        <w:br/>
        <w:tab/>
        <w:tab/>
        <w:t>DSC Engineering Review Comments</w:t>
      </w:r>
      <w:r>
        <w:br/>
        <w:tab/>
        <w:tab/>
        <w:t>DSC File: K12-009832-SP</w:t>
        <w:br/>
      </w:r>
    </w:p>
    <w:p>
      <w:pPr/>
      <w:r>
        <w:t>DSC cannot approve the project at this time. The following comments must first be addressed:</w:t>
        <w:br/>
      </w:r>
      <w:r>
        <w:br/>
        <w:t>1:  Provide silt fence around the extents of disturbance. ((VESCH 7.12).)</w:t>
      </w:r>
      <w:r>
        <w:br/>
        <w:t>2:  The system is showing that there is less than 2' in separation between the bottom of facility and the SHGWT. Revise the desing to provide the separation.  ((DEQ Spec. No. 7.).)</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