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drawing>
          <wp:inline xmlns:a="http://schemas.openxmlformats.org/drawingml/2006/main" xmlns:pic="http://schemas.openxmlformats.org/drawingml/2006/picture">
            <wp:extent cx="6115050" cy="2190750"/>
            <wp:docPr id="1" name="Picture 1"/>
            <wp:cNvGraphicFramePr>
              <a:graphicFrameLocks noChangeAspect="1"/>
            </wp:cNvGraphicFramePr>
            <a:graphic>
              <a:graphicData uri="http://schemas.openxmlformats.org/drawingml/2006/picture">
                <pic:pic>
                  <pic:nvPicPr>
                    <pic:cNvPr id="0" name="LetterHead.PNG"/>
                    <pic:cNvPicPr/>
                  </pic:nvPicPr>
                  <pic:blipFill>
                    <a:blip r:embed="rId9"/>
                    <a:stretch>
                      <a:fillRect/>
                    </a:stretch>
                  </pic:blipFill>
                  <pic:spPr>
                    <a:xfrm>
                      <a:off x="0" y="0"/>
                      <a:ext cx="6115050" cy="2190750"/>
                    </a:xfrm>
                    <a:prstGeom prst="rect"/>
                  </pic:spPr>
                </pic:pic>
              </a:graphicData>
            </a:graphic>
          </wp:inline>
        </w:drawing>
      </w:r>
    </w:p>
    <w:p>
      <w:pPr/>
      <w:r>
        <w:rPr>
          <w:rStyle w:val="TitleChar"/>
        </w:rPr>
        <w:t>INTER-OFFICE MEMORANDUM</w:t>
      </w:r>
      <w:r>
        <w:rPr>
          <w:b/>
        </w:rPr>
        <w:br/>
        <w:br/>
        <w:t>DATE:</w:t>
      </w:r>
      <w:r>
        <w:tab/>
        <w:tab/>
        <w:t>02/02/2021</w:t>
      </w:r>
      <w:r>
        <w:rPr>
          <w:b/>
        </w:rPr>
        <w:br/>
        <w:t>TO:</w:t>
      </w:r>
      <w:r>
        <w:tab/>
        <w:tab/>
        <w:t>Seth</w:t>
      </w:r>
      <w:r>
        <w:rPr>
          <w:b/>
        </w:rPr>
        <w:br/>
        <w:t>FROM:</w:t>
      </w:r>
      <w:r>
        <w:tab/>
        <w:t>Travis</w:t>
      </w:r>
      <w:r>
        <w:rPr>
          <w:b/>
        </w:rPr>
        <w:br/>
        <w:t>SUBJECT:</w:t>
      </w:r>
      <w:r>
        <w:tab/>
        <w:t>Project Name Goes Here</w:t>
      </w:r>
      <w:r>
        <w:br/>
        <w:tab/>
        <w:tab/>
        <w:t>DSC Engineering Review Comments</w:t>
      </w:r>
      <w:r>
        <w:br/>
        <w:tab/>
        <w:tab/>
        <w:t>DSC File: K12-009898-SP</w:t>
        <w:br/>
      </w:r>
    </w:p>
    <w:p>
      <w:pPr/>
      <w:r>
        <w:t>DSC cannot approve the project at this time. The following comments must first be addressed:</w:t>
        <w:br/>
      </w:r>
      <w:r>
        <w:br/>
        <w:t>1:  Provide silt fence around the extents of disturbance. ((VESCH 7.12).)</w:t>
      </w:r>
      <w:r>
        <w:br/>
        <w:t>2:  Silt fence is missing on sheet C-3.0. Include silt fence on the sheet. &lt;br&gt; ((VESCH 8.9).)</w:t>
      </w:r>
      <w:r>
        <w:br/>
        <w:t>3:  The system is showing that there is less than 2' in separation between the bottom of facility and the SHGWT. Revise the design to provide the separation.  ((DEQ Spec. No. 7.).)</w:t>
      </w:r>
      <w:r>
        <w:br/>
        <w:t>4:  Provide a title to the site plan.  (Guide to Commercial Site Plan Development.)</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