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drawing>
          <wp:inline xmlns:a="http://schemas.openxmlformats.org/drawingml/2006/main" xmlns:pic="http://schemas.openxmlformats.org/drawingml/2006/picture">
            <wp:extent cx="6115050" cy="2190750"/>
            <wp:docPr id="1" name="Picture 1"/>
            <wp:cNvGraphicFramePr>
              <a:graphicFrameLocks noChangeAspect="1"/>
            </wp:cNvGraphicFramePr>
            <a:graphic>
              <a:graphicData uri="http://schemas.openxmlformats.org/drawingml/2006/picture">
                <pic:pic>
                  <pic:nvPicPr>
                    <pic:cNvPr id="0" name="LetterHead.PNG"/>
                    <pic:cNvPicPr/>
                  </pic:nvPicPr>
                  <pic:blipFill>
                    <a:blip r:embed="rId9"/>
                    <a:stretch>
                      <a:fillRect/>
                    </a:stretch>
                  </pic:blipFill>
                  <pic:spPr>
                    <a:xfrm>
                      <a:off x="0" y="0"/>
                      <a:ext cx="6115050" cy="2190750"/>
                    </a:xfrm>
                    <a:prstGeom prst="rect"/>
                  </pic:spPr>
                </pic:pic>
              </a:graphicData>
            </a:graphic>
          </wp:inline>
        </w:drawing>
      </w:r>
    </w:p>
    <w:p>
      <w:pPr/>
      <w:r>
        <w:rPr>
          <w:rStyle w:val="TitleChar"/>
        </w:rPr>
        <w:t>INTER-OFFICE MEMORANDUM</w:t>
      </w:r>
      <w:r>
        <w:rPr>
          <w:b/>
        </w:rPr>
        <w:br/>
        <w:br/>
        <w:t>DATE:</w:t>
      </w:r>
      <w:r>
        <w:tab/>
        <w:tab/>
        <w:t>05/10/2021</w:t>
      </w:r>
      <w:r>
        <w:rPr>
          <w:b/>
        </w:rPr>
        <w:br/>
        <w:t>TO:</w:t>
      </w:r>
      <w:r>
        <w:tab/>
        <w:tab/>
        <w:t>SHMILLIAM</w:t>
      </w:r>
      <w:r>
        <w:rPr>
          <w:b/>
        </w:rPr>
        <w:br/>
        <w:t>FROM:</w:t>
      </w:r>
      <w:r>
        <w:tab/>
        <w:t>travis</w:t>
      </w:r>
      <w:r>
        <w:rPr>
          <w:b/>
        </w:rPr>
        <w:br/>
        <w:t>SUBJECT:</w:t>
      </w:r>
      <w:r>
        <w:tab/>
        <w:t>Another Project</w:t>
      </w:r>
      <w:r>
        <w:br/>
        <w:tab/>
        <w:tab/>
        <w:t>DSC Engineering Review Comments</w:t>
      </w:r>
      <w:r>
        <w:br/>
        <w:tab/>
        <w:tab/>
        <w:t>DSC File: PRO-52</w:t>
        <w:br/>
      </w:r>
    </w:p>
    <w:p>
      <w:pPr/>
      <w:r>
        <w:t>DSC cannot approve the project at this time. The following comments must first be addressed:</w:t>
        <w:br/>
      </w:r>
      <w:r>
        <w:br/>
        <w:t>1:  Provide silt fence around the extents of disturbance. ((VESCH 7.12).)</w:t>
      </w:r>
      <w:r>
        <w:br/>
        <w:t>2:  Establish plz.  ((DEQ Spec. No. 7.).)</w:t>
      </w:r>
      <w:r>
        <w:br/>
        <w:t>3:  The shown permeable pavement system is setback less than 5' from the adjacent building. Relocate the system away from the building to meet the required setback.  ((DEQ Spec. No. 7. Table 7.4).)</w:t>
      </w:r>
    </w:p>
    <w:sectPr w:rsidR="00FC693F" w:rsidRPr="0006063C"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